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56"/>
        <w:tblW w:w="1018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2448"/>
        <w:gridCol w:w="6480"/>
        <w:gridCol w:w="1260"/>
      </w:tblGrid>
      <w:tr w:rsidR="00201245" w:rsidTr="00A75D26">
        <w:trPr>
          <w:cantSplit/>
        </w:trPr>
        <w:tc>
          <w:tcPr>
            <w:tcW w:w="2448" w:type="dxa"/>
            <w:vMerge w:val="restart"/>
          </w:tcPr>
          <w:p w:rsidR="00201245" w:rsidRDefault="004129C9" w:rsidP="00A75D26">
            <w:pPr>
              <w:pStyle w:val="Heading7"/>
              <w:spacing w:before="200"/>
              <w:jc w:val="center"/>
              <w:rPr>
                <w:b w:val="0"/>
              </w:rPr>
            </w:pPr>
            <w:r>
              <w:rPr>
                <w:b w:val="0"/>
                <w:noProof/>
                <w:lang w:eastAsia="en-GB"/>
              </w:rPr>
              <w:drawing>
                <wp:inline distT="0" distB="0" distL="0" distR="0">
                  <wp:extent cx="1138646" cy="65808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inch-scotstoun-new-logo-v2-3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162" cy="663588"/>
                          </a:xfrm>
                          <a:prstGeom prst="rect">
                            <a:avLst/>
                          </a:prstGeom>
                        </pic:spPr>
                      </pic:pic>
                    </a:graphicData>
                  </a:graphic>
                </wp:inline>
              </w:drawing>
            </w:r>
          </w:p>
        </w:tc>
        <w:tc>
          <w:tcPr>
            <w:tcW w:w="6480" w:type="dxa"/>
          </w:tcPr>
          <w:p w:rsidR="00201245" w:rsidRDefault="004129C9" w:rsidP="00A75D26">
            <w:pPr>
              <w:pStyle w:val="Heading7"/>
              <w:rPr>
                <w:bCs/>
              </w:rPr>
            </w:pPr>
            <w:r>
              <w:rPr>
                <w:bCs/>
                <w:color w:val="FF0000"/>
              </w:rPr>
              <w:t xml:space="preserve">Virtual </w:t>
            </w:r>
            <w:r w:rsidR="00201245">
              <w:rPr>
                <w:bCs/>
              </w:rPr>
              <w:t>Management Committee Meeting,</w:t>
            </w:r>
          </w:p>
          <w:p w:rsidR="00201245" w:rsidRPr="00E80080" w:rsidRDefault="004129C9" w:rsidP="004129C9">
            <w:pPr>
              <w:pStyle w:val="Heading7"/>
              <w:rPr>
                <w:bCs/>
                <w:color w:val="FF0000"/>
              </w:rPr>
            </w:pPr>
            <w:r w:rsidRPr="004129C9">
              <w:rPr>
                <w:bCs/>
              </w:rPr>
              <w:t>2</w:t>
            </w:r>
            <w:r w:rsidRPr="004129C9">
              <w:rPr>
                <w:bCs/>
                <w:vertAlign w:val="superscript"/>
              </w:rPr>
              <w:t>nd</w:t>
            </w:r>
            <w:r w:rsidRPr="004129C9">
              <w:rPr>
                <w:bCs/>
              </w:rPr>
              <w:t xml:space="preserve"> </w:t>
            </w:r>
            <w:r w:rsidR="00132D11" w:rsidRPr="004129C9">
              <w:rPr>
                <w:bCs/>
              </w:rPr>
              <w:t>February 2022</w:t>
            </w:r>
          </w:p>
        </w:tc>
        <w:tc>
          <w:tcPr>
            <w:tcW w:w="1260" w:type="dxa"/>
            <w:vMerge w:val="restart"/>
          </w:tcPr>
          <w:p w:rsidR="00201245" w:rsidRDefault="00201245" w:rsidP="00A75D26">
            <w:pPr>
              <w:pStyle w:val="Heading7"/>
              <w:jc w:val="center"/>
            </w:pPr>
          </w:p>
          <w:p w:rsidR="00201245" w:rsidRDefault="00201245" w:rsidP="00A75D26">
            <w:pPr>
              <w:pStyle w:val="Heading7"/>
              <w:jc w:val="center"/>
            </w:pPr>
            <w:r>
              <w:t>Agenda</w:t>
            </w:r>
          </w:p>
          <w:p w:rsidR="00201245" w:rsidRDefault="00E862B3" w:rsidP="004129C9">
            <w:pPr>
              <w:pStyle w:val="Heading7"/>
              <w:jc w:val="center"/>
            </w:pPr>
            <w:r>
              <w:t>Item</w:t>
            </w:r>
            <w:r w:rsidR="004129C9">
              <w:t xml:space="preserve"> 13</w:t>
            </w:r>
            <w:r w:rsidRPr="00132D11">
              <w:rPr>
                <w:color w:val="FF0000"/>
              </w:rPr>
              <w:t xml:space="preserve"> </w:t>
            </w:r>
          </w:p>
        </w:tc>
      </w:tr>
      <w:tr w:rsidR="00201245" w:rsidTr="00A75D26">
        <w:trPr>
          <w:cantSplit/>
        </w:trPr>
        <w:tc>
          <w:tcPr>
            <w:tcW w:w="2448" w:type="dxa"/>
            <w:vMerge/>
          </w:tcPr>
          <w:p w:rsidR="00201245" w:rsidRDefault="00201245" w:rsidP="00A75D26">
            <w:pPr>
              <w:rPr>
                <w:b/>
                <w:bCs/>
                <w:sz w:val="28"/>
              </w:rPr>
            </w:pPr>
          </w:p>
        </w:tc>
        <w:tc>
          <w:tcPr>
            <w:tcW w:w="6480" w:type="dxa"/>
          </w:tcPr>
          <w:p w:rsidR="00201245" w:rsidRPr="00F11DC4" w:rsidRDefault="00201245" w:rsidP="00A75D26">
            <w:pPr>
              <w:pStyle w:val="Heading2"/>
              <w:ind w:left="0"/>
              <w:rPr>
                <w:b/>
                <w:sz w:val="28"/>
                <w:u w:val="none"/>
              </w:rPr>
            </w:pPr>
            <w:r w:rsidRPr="00F11DC4">
              <w:rPr>
                <w:b/>
                <w:sz w:val="28"/>
                <w:u w:val="none"/>
              </w:rPr>
              <w:t>Stage 3 Adaptations</w:t>
            </w:r>
          </w:p>
          <w:p w:rsidR="00201245" w:rsidRDefault="00F22FF4" w:rsidP="00A75D26">
            <w:r>
              <w:t>Author: Paul Hughes</w:t>
            </w:r>
          </w:p>
        </w:tc>
        <w:tc>
          <w:tcPr>
            <w:tcW w:w="1260" w:type="dxa"/>
            <w:vMerge/>
          </w:tcPr>
          <w:p w:rsidR="00201245" w:rsidRDefault="00201245" w:rsidP="00A75D26">
            <w:pPr>
              <w:pStyle w:val="Heading7"/>
            </w:pPr>
          </w:p>
        </w:tc>
      </w:tr>
      <w:tr w:rsidR="00201245" w:rsidTr="00A75D26">
        <w:trPr>
          <w:cantSplit/>
        </w:trPr>
        <w:tc>
          <w:tcPr>
            <w:tcW w:w="2448" w:type="dxa"/>
          </w:tcPr>
          <w:p w:rsidR="00201245" w:rsidRPr="008D4F86" w:rsidRDefault="00201245" w:rsidP="00A75D26">
            <w:pPr>
              <w:rPr>
                <w:b/>
                <w:bCs/>
              </w:rPr>
            </w:pPr>
            <w:r>
              <w:rPr>
                <w:b/>
                <w:bCs/>
              </w:rPr>
              <w:t xml:space="preserve">Report Purpose/ </w:t>
            </w:r>
            <w:r w:rsidRPr="008D4F86">
              <w:rPr>
                <w:b/>
                <w:bCs/>
              </w:rPr>
              <w:t>Recommendations</w:t>
            </w:r>
          </w:p>
        </w:tc>
        <w:tc>
          <w:tcPr>
            <w:tcW w:w="7740" w:type="dxa"/>
            <w:gridSpan w:val="2"/>
          </w:tcPr>
          <w:p w:rsidR="00201245" w:rsidRPr="00F11DC4" w:rsidRDefault="00201245" w:rsidP="00A75D26">
            <w:pPr>
              <w:pStyle w:val="Heading7"/>
              <w:rPr>
                <w:sz w:val="24"/>
              </w:rPr>
            </w:pPr>
            <w:r w:rsidRPr="00F11DC4">
              <w:rPr>
                <w:sz w:val="24"/>
              </w:rPr>
              <w:t>To advise Members on progress with the Association’s progress with the annual Stage 3 Adaptation Programme.</w:t>
            </w:r>
          </w:p>
        </w:tc>
      </w:tr>
      <w:tr w:rsidR="00201245" w:rsidTr="00A75D26">
        <w:trPr>
          <w:cantSplit/>
        </w:trPr>
        <w:tc>
          <w:tcPr>
            <w:tcW w:w="2448" w:type="dxa"/>
          </w:tcPr>
          <w:p w:rsidR="00201245" w:rsidRPr="008D4F86" w:rsidRDefault="00201245" w:rsidP="00A75D26">
            <w:pPr>
              <w:rPr>
                <w:b/>
                <w:bCs/>
              </w:rPr>
            </w:pPr>
            <w:r>
              <w:rPr>
                <w:b/>
                <w:bCs/>
              </w:rPr>
              <w:t>Regulatory Standards</w:t>
            </w:r>
          </w:p>
        </w:tc>
        <w:tc>
          <w:tcPr>
            <w:tcW w:w="7740" w:type="dxa"/>
            <w:gridSpan w:val="2"/>
          </w:tcPr>
          <w:p w:rsidR="00201245" w:rsidRPr="00F11DC4" w:rsidRDefault="00201245" w:rsidP="00A75D26">
            <w:pPr>
              <w:pStyle w:val="Heading7"/>
              <w:rPr>
                <w:sz w:val="24"/>
              </w:rPr>
            </w:pPr>
            <w:r w:rsidRPr="00F11DC4">
              <w:rPr>
                <w:sz w:val="24"/>
              </w:rPr>
              <w:t>Standard 2</w:t>
            </w:r>
            <w:r>
              <w:rPr>
                <w:sz w:val="24"/>
              </w:rPr>
              <w:t xml:space="preserve">: </w:t>
            </w:r>
            <w:r>
              <w:rPr>
                <w:b w:val="0"/>
                <w:bCs/>
                <w:color w:val="1B181C"/>
                <w:sz w:val="24"/>
                <w:lang w:val="en" w:eastAsia="en-GB"/>
              </w:rPr>
              <w:t>The RSL…</w:t>
            </w:r>
            <w:r w:rsidRPr="00F11DC4">
              <w:rPr>
                <w:b w:val="0"/>
                <w:bCs/>
                <w:color w:val="1B181C"/>
                <w:sz w:val="24"/>
                <w:lang w:val="en" w:eastAsia="en-GB"/>
              </w:rPr>
              <w:t>takes account of the need</w:t>
            </w:r>
            <w:r>
              <w:rPr>
                <w:b w:val="0"/>
                <w:bCs/>
                <w:color w:val="1B181C"/>
                <w:sz w:val="24"/>
                <w:lang w:val="en" w:eastAsia="en-GB"/>
              </w:rPr>
              <w:t>s and priorities of its tenants [and]</w:t>
            </w:r>
            <w:r w:rsidRPr="00F11DC4">
              <w:rPr>
                <w:b w:val="0"/>
                <w:bCs/>
                <w:color w:val="1B181C"/>
                <w:sz w:val="24"/>
                <w:lang w:val="en" w:eastAsia="en-GB"/>
              </w:rPr>
              <w:t xml:space="preserve"> service users</w:t>
            </w:r>
            <w:r>
              <w:rPr>
                <w:b w:val="0"/>
                <w:bCs/>
                <w:color w:val="1B181C"/>
                <w:sz w:val="24"/>
                <w:lang w:val="en" w:eastAsia="en-GB"/>
              </w:rPr>
              <w:t>.</w:t>
            </w:r>
          </w:p>
        </w:tc>
      </w:tr>
      <w:tr w:rsidR="00201245" w:rsidTr="00A75D26">
        <w:trPr>
          <w:cantSplit/>
        </w:trPr>
        <w:tc>
          <w:tcPr>
            <w:tcW w:w="2448" w:type="dxa"/>
          </w:tcPr>
          <w:p w:rsidR="00201245" w:rsidRDefault="00201245" w:rsidP="00A75D26">
            <w:pPr>
              <w:rPr>
                <w:b/>
                <w:bCs/>
              </w:rPr>
            </w:pPr>
            <w:r>
              <w:rPr>
                <w:b/>
                <w:bCs/>
              </w:rPr>
              <w:t>Charter Outcomes</w:t>
            </w:r>
          </w:p>
        </w:tc>
        <w:tc>
          <w:tcPr>
            <w:tcW w:w="7740" w:type="dxa"/>
            <w:gridSpan w:val="2"/>
          </w:tcPr>
          <w:p w:rsidR="00201245" w:rsidRPr="00006985" w:rsidRDefault="00201245" w:rsidP="00A75D26">
            <w:pPr>
              <w:textAlignment w:val="top"/>
              <w:rPr>
                <w:color w:val="333333"/>
                <w:lang w:val="en" w:eastAsia="en-GB"/>
              </w:rPr>
            </w:pPr>
            <w:r w:rsidRPr="00F11DC4">
              <w:rPr>
                <w:b/>
              </w:rPr>
              <w:t xml:space="preserve">1 Equalities: </w:t>
            </w:r>
            <w:r w:rsidRPr="00F11DC4">
              <w:rPr>
                <w:color w:val="333333"/>
                <w:lang w:val="en" w:eastAsia="en-GB"/>
              </w:rPr>
              <w:t>Social landlords perform all aspects of</w:t>
            </w:r>
            <w:r>
              <w:rPr>
                <w:color w:val="333333"/>
                <w:lang w:val="en" w:eastAsia="en-GB"/>
              </w:rPr>
              <w:t xml:space="preserve"> their housing services so that </w:t>
            </w:r>
            <w:r w:rsidRPr="00F11DC4">
              <w:rPr>
                <w:iCs/>
                <w:color w:val="333333"/>
                <w:lang w:val="en" w:eastAsia="en-GB"/>
              </w:rPr>
              <w:t xml:space="preserve">every tenant and other customer has their individual needs </w:t>
            </w:r>
            <w:proofErr w:type="spellStart"/>
            <w:r w:rsidRPr="00F11DC4">
              <w:rPr>
                <w:iCs/>
                <w:color w:val="333333"/>
                <w:lang w:val="en" w:eastAsia="en-GB"/>
              </w:rPr>
              <w:t>recognised</w:t>
            </w:r>
            <w:proofErr w:type="spellEnd"/>
            <w:r w:rsidRPr="00F11DC4">
              <w:rPr>
                <w:iCs/>
                <w:color w:val="333333"/>
                <w:lang w:val="en" w:eastAsia="en-GB"/>
              </w:rPr>
              <w:t>, is treated fairly and with respect, and receives fair access to housing and housing services.</w:t>
            </w:r>
            <w:r w:rsidRPr="00006985">
              <w:rPr>
                <w:color w:val="333333"/>
                <w:lang w:val="en" w:eastAsia="en-GB"/>
              </w:rPr>
              <w:t xml:space="preserve"> </w:t>
            </w:r>
          </w:p>
          <w:p w:rsidR="00201245" w:rsidRPr="00F11DC4" w:rsidRDefault="00201245" w:rsidP="00A75D26">
            <w:pPr>
              <w:textAlignment w:val="top"/>
              <w:rPr>
                <w:color w:val="333333"/>
                <w:lang w:val="en" w:eastAsia="en-GB"/>
              </w:rPr>
            </w:pPr>
            <w:r w:rsidRPr="00F11DC4">
              <w:rPr>
                <w:b/>
              </w:rPr>
              <w:t>5 Repairs, maintenance and improvements:</w:t>
            </w:r>
            <w:r>
              <w:t xml:space="preserve"> </w:t>
            </w:r>
            <w:r w:rsidRPr="00F11DC4">
              <w:rPr>
                <w:color w:val="333333"/>
                <w:lang w:val="en" w:eastAsia="en-GB"/>
              </w:rPr>
              <w:t xml:space="preserve">Social landlords manage their businesses so that </w:t>
            </w:r>
            <w:r w:rsidRPr="00F11DC4">
              <w:rPr>
                <w:iCs/>
                <w:color w:val="333333"/>
                <w:lang w:val="en" w:eastAsia="en-GB"/>
              </w:rPr>
              <w:t>tenants' homes are well maintained, with repairs and improvements carried out when required, and tenants are given reasonable choices about when work is done.</w:t>
            </w:r>
            <w:r w:rsidRPr="00006985">
              <w:rPr>
                <w:color w:val="333333"/>
                <w:lang w:val="en" w:eastAsia="en-GB"/>
              </w:rPr>
              <w:t xml:space="preserve"> </w:t>
            </w:r>
          </w:p>
        </w:tc>
      </w:tr>
      <w:tr w:rsidR="00201245" w:rsidTr="00A75D26">
        <w:trPr>
          <w:cantSplit/>
        </w:trPr>
        <w:tc>
          <w:tcPr>
            <w:tcW w:w="2448" w:type="dxa"/>
          </w:tcPr>
          <w:p w:rsidR="00201245" w:rsidRDefault="00201245" w:rsidP="00A75D26">
            <w:pPr>
              <w:rPr>
                <w:b/>
                <w:bCs/>
              </w:rPr>
            </w:pPr>
            <w:r>
              <w:rPr>
                <w:b/>
                <w:bCs/>
              </w:rPr>
              <w:t>Attachments</w:t>
            </w:r>
          </w:p>
          <w:p w:rsidR="00201245" w:rsidRDefault="00201245" w:rsidP="00A75D26">
            <w:pPr>
              <w:rPr>
                <w:b/>
                <w:bCs/>
              </w:rPr>
            </w:pPr>
          </w:p>
        </w:tc>
        <w:tc>
          <w:tcPr>
            <w:tcW w:w="7740" w:type="dxa"/>
            <w:gridSpan w:val="2"/>
          </w:tcPr>
          <w:p w:rsidR="00201245" w:rsidRPr="00F11DC4" w:rsidRDefault="00201245" w:rsidP="00A75D26">
            <w:pPr>
              <w:pStyle w:val="Heading7"/>
              <w:rPr>
                <w:b w:val="0"/>
                <w:sz w:val="24"/>
              </w:rPr>
            </w:pPr>
            <w:r w:rsidRPr="00F11DC4">
              <w:rPr>
                <w:b w:val="0"/>
                <w:sz w:val="24"/>
              </w:rPr>
              <w:t>None</w:t>
            </w:r>
            <w:r>
              <w:rPr>
                <w:b w:val="0"/>
                <w:sz w:val="24"/>
              </w:rPr>
              <w:t>.</w:t>
            </w:r>
          </w:p>
        </w:tc>
      </w:tr>
    </w:tbl>
    <w:p w:rsidR="00201245" w:rsidRDefault="00201245" w:rsidP="00201245">
      <w:pPr>
        <w:rPr>
          <w:rFonts w:cs="Arial"/>
          <w:b/>
        </w:rPr>
      </w:pPr>
    </w:p>
    <w:p w:rsidR="00201245" w:rsidRDefault="00201245" w:rsidP="00201245">
      <w:pPr>
        <w:numPr>
          <w:ilvl w:val="0"/>
          <w:numId w:val="1"/>
        </w:numPr>
        <w:rPr>
          <w:rFonts w:cs="Arial"/>
        </w:rPr>
      </w:pPr>
      <w:r>
        <w:rPr>
          <w:rFonts w:cs="Arial"/>
          <w:b/>
          <w:bCs/>
        </w:rPr>
        <w:t xml:space="preserve">      Introduction</w:t>
      </w:r>
    </w:p>
    <w:p w:rsidR="00201245" w:rsidRPr="001E2A21" w:rsidRDefault="00201245" w:rsidP="00201245">
      <w:pPr>
        <w:rPr>
          <w:rFonts w:cs="Arial"/>
          <w:b/>
          <w:color w:val="FF0000"/>
        </w:rPr>
      </w:pPr>
    </w:p>
    <w:p w:rsidR="00201245" w:rsidRPr="001E2A21" w:rsidRDefault="00201245" w:rsidP="00201245">
      <w:pPr>
        <w:rPr>
          <w:rFonts w:cs="Arial"/>
          <w:b/>
          <w:color w:val="FF0000"/>
        </w:rPr>
      </w:pPr>
      <w:r w:rsidRPr="00F11DC4">
        <w:t>Stage 3 medical adaptations are alterations made to properties to suit the changing needs of the occupants. They range from the provision of grab rails to the installation of wet floor shower rooms and can include other special equipment as required.</w:t>
      </w:r>
      <w:r>
        <w:t xml:space="preserve">  These adaptations are grant funded by Glasgow City Council each year.  The purpose of this Report is to update Committee on progress with this year’s programme.</w:t>
      </w:r>
    </w:p>
    <w:p w:rsidR="00201245" w:rsidRPr="001E2A21" w:rsidRDefault="00201245" w:rsidP="00201245">
      <w:pPr>
        <w:rPr>
          <w:rFonts w:cs="Arial"/>
          <w:b/>
          <w:color w:val="FF0000"/>
        </w:rPr>
      </w:pPr>
    </w:p>
    <w:p w:rsidR="00201245" w:rsidRPr="00515247" w:rsidRDefault="00201245" w:rsidP="00201245">
      <w:pPr>
        <w:rPr>
          <w:rFonts w:cs="Arial"/>
          <w:b/>
        </w:rPr>
      </w:pPr>
      <w:r w:rsidRPr="00515247">
        <w:rPr>
          <w:rFonts w:cs="Arial"/>
          <w:b/>
        </w:rPr>
        <w:t>2.0</w:t>
      </w:r>
      <w:r w:rsidR="00B8326A">
        <w:rPr>
          <w:rFonts w:cs="Arial"/>
          <w:b/>
        </w:rPr>
        <w:tab/>
        <w:t>Stage 3 Adaptations 2021/22</w:t>
      </w:r>
      <w:r>
        <w:rPr>
          <w:rFonts w:cs="Arial"/>
          <w:b/>
        </w:rPr>
        <w:t xml:space="preserve"> </w:t>
      </w:r>
    </w:p>
    <w:p w:rsidR="00201245" w:rsidRDefault="00201245" w:rsidP="00201245">
      <w:pPr>
        <w:tabs>
          <w:tab w:val="left" w:pos="2880"/>
        </w:tabs>
        <w:rPr>
          <w:rFonts w:cs="Arial"/>
          <w:bCs/>
        </w:rPr>
      </w:pPr>
    </w:p>
    <w:p w:rsidR="00201245" w:rsidRDefault="00201245" w:rsidP="00201245">
      <w:pPr>
        <w:tabs>
          <w:tab w:val="left" w:pos="2880"/>
        </w:tabs>
        <w:ind w:left="709" w:hanging="709"/>
        <w:rPr>
          <w:rFonts w:cs="Arial"/>
          <w:bCs/>
        </w:rPr>
      </w:pPr>
      <w:r w:rsidRPr="0090678F">
        <w:rPr>
          <w:rFonts w:cs="Arial"/>
          <w:bCs/>
          <w:u w:val="single"/>
        </w:rPr>
        <w:t>HAG Funding</w:t>
      </w:r>
    </w:p>
    <w:p w:rsidR="00201245" w:rsidRDefault="00201245" w:rsidP="00201245">
      <w:pPr>
        <w:tabs>
          <w:tab w:val="left" w:pos="2880"/>
        </w:tabs>
        <w:ind w:left="709" w:hanging="709"/>
        <w:rPr>
          <w:rFonts w:cs="Arial"/>
          <w:bCs/>
        </w:rPr>
      </w:pPr>
      <w:r>
        <w:rPr>
          <w:rFonts w:cs="Arial"/>
          <w:bCs/>
        </w:rPr>
        <w:tab/>
        <w:t>Glasgow City Council awarded WSHA a Housing As</w:t>
      </w:r>
      <w:r w:rsidR="00F22FF4">
        <w:rPr>
          <w:rFonts w:cs="Arial"/>
          <w:bCs/>
        </w:rPr>
        <w:t xml:space="preserve">sociation Grant (HAG) fund of </w:t>
      </w:r>
      <w:r w:rsidR="00F22FF4" w:rsidRPr="00F22FF4">
        <w:rPr>
          <w:rFonts w:cs="Arial"/>
          <w:b/>
          <w:bCs/>
        </w:rPr>
        <w:t>£4</w:t>
      </w:r>
      <w:r w:rsidRPr="00F22FF4">
        <w:rPr>
          <w:rFonts w:cs="Arial"/>
          <w:b/>
          <w:bCs/>
        </w:rPr>
        <w:t>0,000</w:t>
      </w:r>
      <w:r>
        <w:rPr>
          <w:rFonts w:cs="Arial"/>
          <w:bCs/>
        </w:rPr>
        <w:t xml:space="preserve"> to undertake medical adaptation</w:t>
      </w:r>
      <w:r w:rsidR="00EF6778">
        <w:rPr>
          <w:rFonts w:cs="Arial"/>
          <w:bCs/>
        </w:rPr>
        <w:t>s during the financial year 2021/22</w:t>
      </w:r>
      <w:r>
        <w:rPr>
          <w:rFonts w:cs="Arial"/>
          <w:bCs/>
        </w:rPr>
        <w:t xml:space="preserve"> confirmat</w:t>
      </w:r>
      <w:r w:rsidR="00F22FF4">
        <w:rPr>
          <w:rFonts w:cs="Arial"/>
          <w:bCs/>
        </w:rPr>
        <w:t xml:space="preserve">ion of the grant was </w:t>
      </w:r>
      <w:r w:rsidR="00F22FF4" w:rsidRPr="00C227C8">
        <w:rPr>
          <w:rFonts w:cs="Arial"/>
          <w:bCs/>
        </w:rPr>
        <w:t xml:space="preserve">received </w:t>
      </w:r>
      <w:r w:rsidR="00EF6778">
        <w:rPr>
          <w:rFonts w:cs="Arial"/>
          <w:bCs/>
        </w:rPr>
        <w:t>May 2021</w:t>
      </w:r>
    </w:p>
    <w:p w:rsidR="00201245" w:rsidRDefault="00201245" w:rsidP="00201245">
      <w:pPr>
        <w:tabs>
          <w:tab w:val="left" w:pos="2880"/>
        </w:tabs>
        <w:rPr>
          <w:rFonts w:cs="Arial"/>
          <w:bCs/>
        </w:rPr>
      </w:pPr>
    </w:p>
    <w:p w:rsidR="00201245" w:rsidRDefault="00201245" w:rsidP="00201245">
      <w:pPr>
        <w:tabs>
          <w:tab w:val="left" w:pos="2880"/>
        </w:tabs>
        <w:ind w:left="709" w:hanging="709"/>
        <w:rPr>
          <w:rFonts w:cs="Arial"/>
          <w:bCs/>
        </w:rPr>
      </w:pPr>
      <w:r w:rsidRPr="001924FE">
        <w:rPr>
          <w:rFonts w:cs="Arial"/>
          <w:bCs/>
          <w:u w:val="single"/>
        </w:rPr>
        <w:t xml:space="preserve">Quarter </w:t>
      </w:r>
      <w:r w:rsidR="009475AE">
        <w:rPr>
          <w:rFonts w:cs="Arial"/>
          <w:bCs/>
          <w:u w:val="single"/>
        </w:rPr>
        <w:t>3</w:t>
      </w:r>
      <w:r w:rsidR="00EF6778">
        <w:rPr>
          <w:rFonts w:cs="Arial"/>
          <w:bCs/>
          <w:u w:val="single"/>
        </w:rPr>
        <w:t xml:space="preserve"> </w:t>
      </w:r>
      <w:r w:rsidRPr="001924FE">
        <w:rPr>
          <w:rFonts w:cs="Arial"/>
          <w:bCs/>
          <w:u w:val="single"/>
        </w:rPr>
        <w:t>Statistics</w:t>
      </w:r>
      <w:r>
        <w:rPr>
          <w:rFonts w:cs="Arial"/>
          <w:bCs/>
        </w:rPr>
        <w:t xml:space="preserve"> </w:t>
      </w:r>
    </w:p>
    <w:p w:rsidR="00201245" w:rsidRPr="00E90499" w:rsidRDefault="00201245" w:rsidP="00201245">
      <w:pPr>
        <w:tabs>
          <w:tab w:val="left" w:pos="2880"/>
        </w:tabs>
        <w:ind w:left="709" w:hanging="709"/>
        <w:rPr>
          <w:rFonts w:cs="Arial"/>
          <w:bCs/>
        </w:rPr>
      </w:pPr>
      <w:r>
        <w:rPr>
          <w:rFonts w:cs="Arial"/>
          <w:bCs/>
        </w:rPr>
        <w:tab/>
      </w:r>
    </w:p>
    <w:p w:rsidR="00201245" w:rsidRDefault="00201245" w:rsidP="00201245">
      <w:pPr>
        <w:tabs>
          <w:tab w:val="left" w:pos="2880"/>
        </w:tabs>
        <w:ind w:left="709" w:hanging="709"/>
        <w:rPr>
          <w:rFonts w:cs="Arial"/>
          <w:bCs/>
        </w:rPr>
      </w:pPr>
      <w:r>
        <w:rPr>
          <w:rFonts w:cs="Arial"/>
          <w:bCs/>
        </w:rPr>
        <w:tab/>
      </w:r>
      <w:r w:rsidRPr="00E90499">
        <w:rPr>
          <w:rFonts w:cs="Arial"/>
          <w:bCs/>
        </w:rPr>
        <w:t>Statistics</w:t>
      </w:r>
      <w:r>
        <w:rPr>
          <w:rFonts w:cs="Arial"/>
          <w:bCs/>
        </w:rPr>
        <w:t xml:space="preserve"> for St</w:t>
      </w:r>
      <w:r w:rsidR="00EF6778">
        <w:rPr>
          <w:rFonts w:cs="Arial"/>
          <w:bCs/>
        </w:rPr>
        <w:t>age 3 referrals for the period 1</w:t>
      </w:r>
      <w:r w:rsidRPr="009F6AA4">
        <w:rPr>
          <w:rFonts w:cs="Arial"/>
          <w:bCs/>
          <w:vertAlign w:val="superscript"/>
        </w:rPr>
        <w:t>st</w:t>
      </w:r>
      <w:r w:rsidR="005F7376">
        <w:rPr>
          <w:rFonts w:cs="Arial"/>
          <w:bCs/>
        </w:rPr>
        <w:t xml:space="preserve"> </w:t>
      </w:r>
      <w:r w:rsidR="009475AE">
        <w:rPr>
          <w:rFonts w:cs="Arial"/>
          <w:bCs/>
        </w:rPr>
        <w:t>October – 31</w:t>
      </w:r>
      <w:r w:rsidR="009475AE" w:rsidRPr="009475AE">
        <w:rPr>
          <w:rFonts w:cs="Arial"/>
          <w:bCs/>
          <w:vertAlign w:val="superscript"/>
        </w:rPr>
        <w:t>st</w:t>
      </w:r>
      <w:r w:rsidR="009475AE">
        <w:rPr>
          <w:rFonts w:cs="Arial"/>
          <w:bCs/>
        </w:rPr>
        <w:t xml:space="preserve"> December</w:t>
      </w:r>
      <w:r w:rsidR="0087288E">
        <w:rPr>
          <w:rFonts w:cs="Arial"/>
          <w:bCs/>
        </w:rPr>
        <w:t xml:space="preserve"> </w:t>
      </w:r>
      <w:r w:rsidR="00AE59D6">
        <w:rPr>
          <w:rFonts w:cs="Arial"/>
          <w:bCs/>
        </w:rPr>
        <w:t>2021</w:t>
      </w:r>
    </w:p>
    <w:p w:rsidR="00201245" w:rsidRDefault="00201245" w:rsidP="00201245">
      <w:pPr>
        <w:tabs>
          <w:tab w:val="left" w:pos="2880"/>
        </w:tabs>
        <w:ind w:left="709" w:hanging="709"/>
        <w:rPr>
          <w:rFonts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1559"/>
      </w:tblGrid>
      <w:tr w:rsidR="00201245" w:rsidRPr="00D04D84" w:rsidTr="00A75D26">
        <w:trPr>
          <w:trHeight w:val="288"/>
          <w:jc w:val="center"/>
        </w:trPr>
        <w:tc>
          <w:tcPr>
            <w:tcW w:w="4634" w:type="dxa"/>
            <w:shd w:val="clear" w:color="auto" w:fill="auto"/>
            <w:noWrap/>
            <w:hideMark/>
          </w:tcPr>
          <w:p w:rsidR="00201245" w:rsidRPr="00D04D84" w:rsidRDefault="009475AE" w:rsidP="00201245">
            <w:pPr>
              <w:tabs>
                <w:tab w:val="left" w:pos="2880"/>
              </w:tabs>
              <w:ind w:left="709" w:hanging="709"/>
              <w:rPr>
                <w:rFonts w:cs="Arial"/>
                <w:bCs/>
              </w:rPr>
            </w:pPr>
            <w:r>
              <w:rPr>
                <w:rFonts w:cs="Arial"/>
                <w:bCs/>
              </w:rPr>
              <w:t>New Quarter 3</w:t>
            </w:r>
            <w:r w:rsidR="00F22FF4">
              <w:rPr>
                <w:rFonts w:cs="Arial"/>
                <w:bCs/>
              </w:rPr>
              <w:t xml:space="preserve"> </w:t>
            </w:r>
            <w:r w:rsidR="00201245" w:rsidRPr="00D04D84">
              <w:rPr>
                <w:rFonts w:cs="Arial"/>
                <w:bCs/>
              </w:rPr>
              <w:t>Applications</w:t>
            </w:r>
          </w:p>
        </w:tc>
        <w:tc>
          <w:tcPr>
            <w:tcW w:w="1559" w:type="dxa"/>
            <w:shd w:val="clear" w:color="auto" w:fill="auto"/>
            <w:noWrap/>
          </w:tcPr>
          <w:p w:rsidR="00201245" w:rsidRPr="001B5AD6" w:rsidRDefault="0087288E" w:rsidP="00201245">
            <w:pPr>
              <w:tabs>
                <w:tab w:val="left" w:pos="2880"/>
              </w:tabs>
              <w:ind w:left="709" w:hanging="709"/>
              <w:jc w:val="center"/>
              <w:rPr>
                <w:rFonts w:cs="Arial"/>
                <w:bCs/>
              </w:rPr>
            </w:pPr>
            <w:r>
              <w:rPr>
                <w:rFonts w:cs="Arial"/>
                <w:bCs/>
              </w:rPr>
              <w:t>2</w:t>
            </w:r>
          </w:p>
        </w:tc>
      </w:tr>
      <w:tr w:rsidR="00201245" w:rsidRPr="00D04D84" w:rsidTr="00A75D26">
        <w:trPr>
          <w:trHeight w:val="288"/>
          <w:jc w:val="center"/>
        </w:trPr>
        <w:tc>
          <w:tcPr>
            <w:tcW w:w="4634" w:type="dxa"/>
            <w:shd w:val="clear" w:color="auto" w:fill="auto"/>
            <w:noWrap/>
            <w:hideMark/>
          </w:tcPr>
          <w:p w:rsidR="00201245" w:rsidRPr="00D04D84" w:rsidRDefault="001E3F1F" w:rsidP="00201245">
            <w:pPr>
              <w:tabs>
                <w:tab w:val="left" w:pos="2880"/>
              </w:tabs>
              <w:ind w:left="709" w:hanging="709"/>
              <w:rPr>
                <w:rFonts w:cs="Arial"/>
                <w:bCs/>
              </w:rPr>
            </w:pPr>
            <w:r>
              <w:rPr>
                <w:rFonts w:cs="Arial"/>
                <w:bCs/>
              </w:rPr>
              <w:t>New</w:t>
            </w:r>
            <w:r w:rsidR="009475AE">
              <w:rPr>
                <w:rFonts w:cs="Arial"/>
                <w:bCs/>
              </w:rPr>
              <w:t xml:space="preserve"> Q3</w:t>
            </w:r>
            <w:r w:rsidR="00911AA5">
              <w:rPr>
                <w:rFonts w:cs="Arial"/>
                <w:bCs/>
              </w:rPr>
              <w:t xml:space="preserve"> </w:t>
            </w:r>
            <w:r w:rsidR="00201245">
              <w:rPr>
                <w:rFonts w:cs="Arial"/>
                <w:bCs/>
              </w:rPr>
              <w:t xml:space="preserve">Claims </w:t>
            </w:r>
            <w:r w:rsidR="00201245" w:rsidRPr="00D04D84">
              <w:rPr>
                <w:rFonts w:cs="Arial"/>
                <w:bCs/>
              </w:rPr>
              <w:t>Abandoned</w:t>
            </w:r>
          </w:p>
        </w:tc>
        <w:tc>
          <w:tcPr>
            <w:tcW w:w="1559" w:type="dxa"/>
            <w:shd w:val="clear" w:color="auto" w:fill="auto"/>
            <w:noWrap/>
          </w:tcPr>
          <w:p w:rsidR="00201245" w:rsidRPr="001B5AD6" w:rsidRDefault="00132D11" w:rsidP="00201245">
            <w:pPr>
              <w:tabs>
                <w:tab w:val="left" w:pos="2880"/>
              </w:tabs>
              <w:ind w:left="709" w:hanging="709"/>
              <w:jc w:val="center"/>
              <w:rPr>
                <w:rFonts w:cs="Arial"/>
                <w:bCs/>
              </w:rPr>
            </w:pPr>
            <w:r>
              <w:rPr>
                <w:rFonts w:cs="Arial"/>
                <w:bCs/>
              </w:rPr>
              <w:t>0</w:t>
            </w:r>
          </w:p>
        </w:tc>
      </w:tr>
      <w:tr w:rsidR="00201245" w:rsidRPr="00D04D84" w:rsidTr="00A75D26">
        <w:trPr>
          <w:trHeight w:val="288"/>
          <w:jc w:val="center"/>
        </w:trPr>
        <w:tc>
          <w:tcPr>
            <w:tcW w:w="4634" w:type="dxa"/>
            <w:shd w:val="clear" w:color="auto" w:fill="auto"/>
            <w:noWrap/>
            <w:hideMark/>
          </w:tcPr>
          <w:p w:rsidR="00201245" w:rsidRPr="00D04D84" w:rsidRDefault="009475AE" w:rsidP="00201245">
            <w:pPr>
              <w:tabs>
                <w:tab w:val="left" w:pos="2880"/>
              </w:tabs>
              <w:ind w:left="709" w:hanging="709"/>
              <w:rPr>
                <w:rFonts w:cs="Arial"/>
                <w:bCs/>
              </w:rPr>
            </w:pPr>
            <w:r>
              <w:rPr>
                <w:rFonts w:cs="Arial"/>
                <w:bCs/>
              </w:rPr>
              <w:t>New Q3</w:t>
            </w:r>
            <w:r w:rsidR="00911AA5">
              <w:rPr>
                <w:rFonts w:cs="Arial"/>
                <w:bCs/>
              </w:rPr>
              <w:t xml:space="preserve"> </w:t>
            </w:r>
            <w:r w:rsidR="00201245">
              <w:rPr>
                <w:rFonts w:cs="Arial"/>
                <w:bCs/>
              </w:rPr>
              <w:t xml:space="preserve">Claims </w:t>
            </w:r>
            <w:r w:rsidR="00201245" w:rsidRPr="00D04D84">
              <w:rPr>
                <w:rFonts w:cs="Arial"/>
                <w:bCs/>
              </w:rPr>
              <w:t>Approved</w:t>
            </w:r>
          </w:p>
        </w:tc>
        <w:tc>
          <w:tcPr>
            <w:tcW w:w="1559" w:type="dxa"/>
            <w:shd w:val="clear" w:color="auto" w:fill="auto"/>
            <w:noWrap/>
          </w:tcPr>
          <w:p w:rsidR="00201245" w:rsidRPr="001B5AD6" w:rsidRDefault="0087288E" w:rsidP="00201245">
            <w:pPr>
              <w:tabs>
                <w:tab w:val="left" w:pos="2880"/>
              </w:tabs>
              <w:ind w:left="709" w:hanging="709"/>
              <w:jc w:val="center"/>
              <w:rPr>
                <w:rFonts w:cs="Arial"/>
                <w:bCs/>
              </w:rPr>
            </w:pPr>
            <w:r>
              <w:rPr>
                <w:rFonts w:cs="Arial"/>
                <w:bCs/>
              </w:rPr>
              <w:t>2</w:t>
            </w:r>
          </w:p>
        </w:tc>
      </w:tr>
      <w:tr w:rsidR="00201245" w:rsidRPr="00D04D84" w:rsidTr="00A75D26">
        <w:trPr>
          <w:trHeight w:val="288"/>
          <w:jc w:val="center"/>
        </w:trPr>
        <w:tc>
          <w:tcPr>
            <w:tcW w:w="4634" w:type="dxa"/>
            <w:shd w:val="clear" w:color="auto" w:fill="auto"/>
            <w:noWrap/>
            <w:hideMark/>
          </w:tcPr>
          <w:p w:rsidR="00201245" w:rsidRPr="00D04D84" w:rsidRDefault="00201245" w:rsidP="007F2887">
            <w:pPr>
              <w:tabs>
                <w:tab w:val="left" w:pos="2880"/>
              </w:tabs>
              <w:ind w:left="709" w:hanging="709"/>
              <w:rPr>
                <w:rFonts w:cs="Arial"/>
                <w:bCs/>
              </w:rPr>
            </w:pPr>
            <w:r>
              <w:rPr>
                <w:rFonts w:cs="Arial"/>
                <w:bCs/>
              </w:rPr>
              <w:t>New Q</w:t>
            </w:r>
            <w:r w:rsidR="009475AE">
              <w:rPr>
                <w:rFonts w:cs="Arial"/>
                <w:bCs/>
              </w:rPr>
              <w:t>3</w:t>
            </w:r>
            <w:r w:rsidR="00911AA5">
              <w:rPr>
                <w:rFonts w:cs="Arial"/>
                <w:bCs/>
              </w:rPr>
              <w:t xml:space="preserve"> </w:t>
            </w:r>
            <w:r>
              <w:rPr>
                <w:rFonts w:cs="Arial"/>
                <w:bCs/>
              </w:rPr>
              <w:t>Claims Awaiting Approval</w:t>
            </w:r>
          </w:p>
        </w:tc>
        <w:tc>
          <w:tcPr>
            <w:tcW w:w="1559" w:type="dxa"/>
            <w:shd w:val="clear" w:color="auto" w:fill="auto"/>
            <w:noWrap/>
          </w:tcPr>
          <w:p w:rsidR="00201245" w:rsidRPr="001B5AD6" w:rsidRDefault="00201245" w:rsidP="00A75D26">
            <w:pPr>
              <w:tabs>
                <w:tab w:val="left" w:pos="2880"/>
              </w:tabs>
              <w:ind w:left="709" w:hanging="709"/>
              <w:jc w:val="center"/>
              <w:rPr>
                <w:rFonts w:cs="Arial"/>
                <w:bCs/>
              </w:rPr>
            </w:pPr>
            <w:r w:rsidRPr="001B5AD6">
              <w:rPr>
                <w:rFonts w:cs="Arial"/>
                <w:bCs/>
              </w:rPr>
              <w:t>0</w:t>
            </w:r>
          </w:p>
        </w:tc>
      </w:tr>
      <w:tr w:rsidR="00201245" w:rsidRPr="00D04D84" w:rsidTr="00A75D26">
        <w:trPr>
          <w:trHeight w:val="288"/>
          <w:jc w:val="center"/>
        </w:trPr>
        <w:tc>
          <w:tcPr>
            <w:tcW w:w="4634" w:type="dxa"/>
            <w:shd w:val="clear" w:color="auto" w:fill="auto"/>
            <w:noWrap/>
            <w:hideMark/>
          </w:tcPr>
          <w:p w:rsidR="00201245" w:rsidRPr="00D04D84" w:rsidRDefault="00201245" w:rsidP="007F2887">
            <w:pPr>
              <w:tabs>
                <w:tab w:val="left" w:pos="2880"/>
              </w:tabs>
              <w:ind w:left="709" w:hanging="709"/>
              <w:rPr>
                <w:rFonts w:cs="Arial"/>
                <w:bCs/>
              </w:rPr>
            </w:pPr>
            <w:r>
              <w:rPr>
                <w:rFonts w:cs="Arial"/>
                <w:bCs/>
              </w:rPr>
              <w:t>New Q</w:t>
            </w:r>
            <w:r w:rsidR="009475AE">
              <w:rPr>
                <w:rFonts w:cs="Arial"/>
                <w:bCs/>
              </w:rPr>
              <w:t>3</w:t>
            </w:r>
            <w:r w:rsidR="00911AA5">
              <w:rPr>
                <w:rFonts w:cs="Arial"/>
                <w:bCs/>
              </w:rPr>
              <w:t xml:space="preserve"> </w:t>
            </w:r>
            <w:r w:rsidRPr="00D04D84">
              <w:rPr>
                <w:rFonts w:cs="Arial"/>
                <w:bCs/>
              </w:rPr>
              <w:t>Applications</w:t>
            </w:r>
            <w:r>
              <w:rPr>
                <w:rFonts w:cs="Arial"/>
                <w:bCs/>
              </w:rPr>
              <w:t xml:space="preserve"> Completed</w:t>
            </w:r>
          </w:p>
        </w:tc>
        <w:tc>
          <w:tcPr>
            <w:tcW w:w="1559" w:type="dxa"/>
            <w:shd w:val="clear" w:color="auto" w:fill="auto"/>
            <w:noWrap/>
            <w:hideMark/>
          </w:tcPr>
          <w:p w:rsidR="00201245" w:rsidRPr="001B5AD6" w:rsidRDefault="001B5AD6" w:rsidP="00201245">
            <w:pPr>
              <w:tabs>
                <w:tab w:val="left" w:pos="2880"/>
              </w:tabs>
              <w:ind w:left="709" w:hanging="709"/>
              <w:jc w:val="center"/>
              <w:rPr>
                <w:rFonts w:cs="Arial"/>
                <w:bCs/>
              </w:rPr>
            </w:pPr>
            <w:r w:rsidRPr="001B5AD6">
              <w:rPr>
                <w:rFonts w:cs="Arial"/>
                <w:bCs/>
              </w:rPr>
              <w:t>2</w:t>
            </w:r>
          </w:p>
        </w:tc>
      </w:tr>
    </w:tbl>
    <w:p w:rsidR="00201245" w:rsidRDefault="00201245" w:rsidP="00201245">
      <w:pPr>
        <w:tabs>
          <w:tab w:val="left" w:pos="2880"/>
        </w:tabs>
        <w:rPr>
          <w:rFonts w:cs="Arial"/>
          <w:bCs/>
        </w:rPr>
      </w:pPr>
    </w:p>
    <w:p w:rsidR="00201245" w:rsidRDefault="00201245" w:rsidP="00201245">
      <w:pPr>
        <w:tabs>
          <w:tab w:val="left" w:pos="2880"/>
        </w:tabs>
        <w:ind w:left="709" w:hanging="709"/>
        <w:rPr>
          <w:rFonts w:cs="Arial"/>
          <w:bCs/>
          <w:u w:val="single"/>
        </w:rPr>
      </w:pPr>
    </w:p>
    <w:p w:rsidR="00201245" w:rsidRDefault="00201245" w:rsidP="00201245">
      <w:pPr>
        <w:tabs>
          <w:tab w:val="left" w:pos="2880"/>
        </w:tabs>
        <w:ind w:left="709" w:hanging="709"/>
        <w:rPr>
          <w:rFonts w:cs="Arial"/>
          <w:bCs/>
          <w:u w:val="single"/>
        </w:rPr>
      </w:pPr>
    </w:p>
    <w:p w:rsidR="00201245" w:rsidRDefault="009502BA" w:rsidP="00201245">
      <w:pPr>
        <w:tabs>
          <w:tab w:val="left" w:pos="2880"/>
        </w:tabs>
        <w:ind w:left="709" w:hanging="709"/>
        <w:rPr>
          <w:rFonts w:cs="Arial"/>
          <w:bCs/>
          <w:u w:val="single"/>
        </w:rPr>
      </w:pPr>
      <w:r>
        <w:rPr>
          <w:rFonts w:cs="Arial"/>
          <w:bCs/>
          <w:u w:val="single"/>
        </w:rPr>
        <w:t xml:space="preserve">Statistics as of </w:t>
      </w:r>
      <w:r w:rsidR="009475AE">
        <w:rPr>
          <w:rFonts w:cs="Arial"/>
          <w:bCs/>
          <w:u w:val="single"/>
        </w:rPr>
        <w:t>31</w:t>
      </w:r>
      <w:r w:rsidR="009475AE" w:rsidRPr="009475AE">
        <w:rPr>
          <w:rFonts w:cs="Arial"/>
          <w:bCs/>
          <w:u w:val="single"/>
          <w:vertAlign w:val="superscript"/>
        </w:rPr>
        <w:t>st</w:t>
      </w:r>
      <w:r w:rsidR="009475AE">
        <w:rPr>
          <w:rFonts w:cs="Arial"/>
          <w:bCs/>
          <w:u w:val="single"/>
        </w:rPr>
        <w:t xml:space="preserve"> December</w:t>
      </w:r>
      <w:r w:rsidR="00911AA5">
        <w:rPr>
          <w:rFonts w:cs="Arial"/>
          <w:bCs/>
          <w:u w:val="single"/>
        </w:rPr>
        <w:t xml:space="preserve"> 2021</w:t>
      </w:r>
    </w:p>
    <w:p w:rsidR="00201245" w:rsidRDefault="00201245" w:rsidP="00201245">
      <w:pPr>
        <w:tabs>
          <w:tab w:val="left" w:pos="2880"/>
        </w:tabs>
        <w:ind w:left="709" w:hanging="709"/>
        <w:rPr>
          <w:rFonts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1559"/>
      </w:tblGrid>
      <w:tr w:rsidR="00201245" w:rsidRPr="00D04D84" w:rsidTr="00A75D26">
        <w:trPr>
          <w:trHeight w:val="288"/>
          <w:jc w:val="center"/>
        </w:trPr>
        <w:tc>
          <w:tcPr>
            <w:tcW w:w="4634" w:type="dxa"/>
            <w:shd w:val="clear" w:color="auto" w:fill="auto"/>
            <w:noWrap/>
            <w:hideMark/>
          </w:tcPr>
          <w:p w:rsidR="00201245" w:rsidRPr="00D04D84" w:rsidRDefault="00201245" w:rsidP="00A75D26">
            <w:pPr>
              <w:tabs>
                <w:tab w:val="left" w:pos="2880"/>
              </w:tabs>
              <w:ind w:left="709" w:hanging="709"/>
              <w:rPr>
                <w:rFonts w:cs="Arial"/>
                <w:bCs/>
              </w:rPr>
            </w:pPr>
            <w:r>
              <w:rPr>
                <w:rFonts w:cs="Arial"/>
                <w:bCs/>
              </w:rPr>
              <w:t xml:space="preserve">Total New </w:t>
            </w:r>
            <w:r w:rsidR="001B5AD6">
              <w:rPr>
                <w:rFonts w:cs="Arial"/>
                <w:bCs/>
              </w:rPr>
              <w:t>2021/22</w:t>
            </w:r>
            <w:r w:rsidRPr="00D04D84">
              <w:rPr>
                <w:rFonts w:cs="Arial"/>
                <w:bCs/>
              </w:rPr>
              <w:t xml:space="preserve"> Applications</w:t>
            </w:r>
          </w:p>
        </w:tc>
        <w:tc>
          <w:tcPr>
            <w:tcW w:w="1559" w:type="dxa"/>
            <w:shd w:val="clear" w:color="auto" w:fill="auto"/>
            <w:noWrap/>
          </w:tcPr>
          <w:p w:rsidR="00201245" w:rsidRPr="00D04D84" w:rsidRDefault="009475AE" w:rsidP="00EF1C45">
            <w:pPr>
              <w:tabs>
                <w:tab w:val="left" w:pos="2880"/>
              </w:tabs>
              <w:ind w:left="709" w:hanging="709"/>
              <w:jc w:val="center"/>
              <w:rPr>
                <w:rFonts w:cs="Arial"/>
                <w:bCs/>
              </w:rPr>
            </w:pPr>
            <w:r>
              <w:rPr>
                <w:rFonts w:cs="Arial"/>
                <w:bCs/>
              </w:rPr>
              <w:t>9</w:t>
            </w:r>
          </w:p>
        </w:tc>
      </w:tr>
      <w:tr w:rsidR="00201245" w:rsidRPr="00D04D84" w:rsidTr="00A75D26">
        <w:trPr>
          <w:trHeight w:val="288"/>
          <w:jc w:val="center"/>
        </w:trPr>
        <w:tc>
          <w:tcPr>
            <w:tcW w:w="4634" w:type="dxa"/>
            <w:shd w:val="clear" w:color="auto" w:fill="D9D9D9"/>
            <w:noWrap/>
            <w:hideMark/>
          </w:tcPr>
          <w:p w:rsidR="00201245" w:rsidRPr="00D04D84" w:rsidRDefault="001B5AD6" w:rsidP="00A75D26">
            <w:pPr>
              <w:tabs>
                <w:tab w:val="left" w:pos="2880"/>
              </w:tabs>
              <w:ind w:left="709" w:hanging="709"/>
              <w:rPr>
                <w:rFonts w:cs="Arial"/>
                <w:bCs/>
              </w:rPr>
            </w:pPr>
            <w:r>
              <w:rPr>
                <w:rFonts w:cs="Arial"/>
                <w:bCs/>
              </w:rPr>
              <w:t>Carried 2020/21</w:t>
            </w:r>
            <w:r w:rsidR="00201245" w:rsidRPr="00D04D84">
              <w:rPr>
                <w:rFonts w:cs="Arial"/>
                <w:bCs/>
              </w:rPr>
              <w:t xml:space="preserve"> Applications</w:t>
            </w:r>
          </w:p>
        </w:tc>
        <w:tc>
          <w:tcPr>
            <w:tcW w:w="1559" w:type="dxa"/>
            <w:shd w:val="clear" w:color="auto" w:fill="D9D9D9"/>
            <w:noWrap/>
          </w:tcPr>
          <w:p w:rsidR="00201245" w:rsidRPr="00D04D84" w:rsidRDefault="00132D11" w:rsidP="00EF1C45">
            <w:pPr>
              <w:tabs>
                <w:tab w:val="left" w:pos="2880"/>
              </w:tabs>
              <w:ind w:left="709" w:hanging="709"/>
              <w:jc w:val="center"/>
              <w:rPr>
                <w:rFonts w:cs="Arial"/>
                <w:bCs/>
              </w:rPr>
            </w:pPr>
            <w:r>
              <w:rPr>
                <w:rFonts w:cs="Arial"/>
                <w:bCs/>
              </w:rPr>
              <w:t>0</w:t>
            </w:r>
          </w:p>
        </w:tc>
      </w:tr>
      <w:tr w:rsidR="00201245" w:rsidRPr="00D04D84" w:rsidTr="00A75D26">
        <w:trPr>
          <w:trHeight w:val="288"/>
          <w:jc w:val="center"/>
        </w:trPr>
        <w:tc>
          <w:tcPr>
            <w:tcW w:w="4634" w:type="dxa"/>
            <w:shd w:val="clear" w:color="auto" w:fill="auto"/>
            <w:noWrap/>
            <w:hideMark/>
          </w:tcPr>
          <w:p w:rsidR="00201245" w:rsidRPr="00D04D84" w:rsidRDefault="00201245" w:rsidP="00A75D26">
            <w:pPr>
              <w:tabs>
                <w:tab w:val="left" w:pos="2880"/>
              </w:tabs>
              <w:ind w:left="709" w:hanging="709"/>
              <w:rPr>
                <w:rFonts w:cs="Arial"/>
                <w:bCs/>
              </w:rPr>
            </w:pPr>
            <w:r>
              <w:rPr>
                <w:rFonts w:cs="Arial"/>
                <w:bCs/>
              </w:rPr>
              <w:t xml:space="preserve">New Claims </w:t>
            </w:r>
            <w:r w:rsidRPr="00D04D84">
              <w:rPr>
                <w:rFonts w:cs="Arial"/>
                <w:bCs/>
              </w:rPr>
              <w:t>Approved</w:t>
            </w:r>
          </w:p>
        </w:tc>
        <w:tc>
          <w:tcPr>
            <w:tcW w:w="1559" w:type="dxa"/>
            <w:shd w:val="clear" w:color="auto" w:fill="auto"/>
            <w:noWrap/>
          </w:tcPr>
          <w:p w:rsidR="00201245" w:rsidRPr="00D04D84" w:rsidRDefault="009475AE" w:rsidP="00EF1C45">
            <w:pPr>
              <w:tabs>
                <w:tab w:val="left" w:pos="2880"/>
              </w:tabs>
              <w:ind w:left="709" w:hanging="709"/>
              <w:jc w:val="center"/>
              <w:rPr>
                <w:rFonts w:cs="Arial"/>
                <w:bCs/>
              </w:rPr>
            </w:pPr>
            <w:r>
              <w:rPr>
                <w:rFonts w:cs="Arial"/>
                <w:bCs/>
              </w:rPr>
              <w:t>9</w:t>
            </w:r>
          </w:p>
        </w:tc>
      </w:tr>
      <w:tr w:rsidR="00201245" w:rsidRPr="00D04D84" w:rsidTr="00A75D26">
        <w:trPr>
          <w:trHeight w:val="288"/>
          <w:jc w:val="center"/>
        </w:trPr>
        <w:tc>
          <w:tcPr>
            <w:tcW w:w="4634" w:type="dxa"/>
            <w:shd w:val="clear" w:color="auto" w:fill="auto"/>
            <w:noWrap/>
            <w:hideMark/>
          </w:tcPr>
          <w:p w:rsidR="00201245" w:rsidRPr="00D04D84" w:rsidRDefault="00201245" w:rsidP="00A75D26">
            <w:pPr>
              <w:tabs>
                <w:tab w:val="left" w:pos="2880"/>
              </w:tabs>
              <w:ind w:left="709" w:hanging="709"/>
              <w:rPr>
                <w:rFonts w:cs="Arial"/>
                <w:bCs/>
              </w:rPr>
            </w:pPr>
            <w:r>
              <w:rPr>
                <w:rFonts w:cs="Arial"/>
                <w:bCs/>
              </w:rPr>
              <w:t>New Claims Awaiting Approval</w:t>
            </w:r>
          </w:p>
        </w:tc>
        <w:tc>
          <w:tcPr>
            <w:tcW w:w="1559" w:type="dxa"/>
            <w:shd w:val="clear" w:color="auto" w:fill="auto"/>
            <w:noWrap/>
          </w:tcPr>
          <w:p w:rsidR="00201245" w:rsidRPr="00456EFB" w:rsidRDefault="00201245" w:rsidP="00EF1C45">
            <w:pPr>
              <w:tabs>
                <w:tab w:val="left" w:pos="2880"/>
              </w:tabs>
              <w:ind w:left="709" w:hanging="709"/>
              <w:jc w:val="center"/>
              <w:rPr>
                <w:rFonts w:cs="Arial"/>
                <w:bCs/>
              </w:rPr>
            </w:pPr>
            <w:r>
              <w:rPr>
                <w:rFonts w:cs="Arial"/>
                <w:bCs/>
              </w:rPr>
              <w:t>0</w:t>
            </w:r>
          </w:p>
        </w:tc>
      </w:tr>
      <w:tr w:rsidR="00201245" w:rsidRPr="00D04D84" w:rsidTr="00A75D26">
        <w:trPr>
          <w:trHeight w:val="288"/>
          <w:jc w:val="center"/>
        </w:trPr>
        <w:tc>
          <w:tcPr>
            <w:tcW w:w="4634" w:type="dxa"/>
            <w:shd w:val="clear" w:color="auto" w:fill="auto"/>
            <w:noWrap/>
            <w:hideMark/>
          </w:tcPr>
          <w:p w:rsidR="00201245" w:rsidRPr="00D04D84" w:rsidRDefault="001B5AD6" w:rsidP="00A75D26">
            <w:pPr>
              <w:tabs>
                <w:tab w:val="left" w:pos="2880"/>
              </w:tabs>
              <w:ind w:left="709" w:hanging="709"/>
              <w:rPr>
                <w:rFonts w:cs="Arial"/>
                <w:bCs/>
              </w:rPr>
            </w:pPr>
            <w:r>
              <w:rPr>
                <w:rFonts w:cs="Arial"/>
                <w:bCs/>
              </w:rPr>
              <w:t>New 2021/22</w:t>
            </w:r>
            <w:r w:rsidR="00201245" w:rsidRPr="00D04D84">
              <w:rPr>
                <w:rFonts w:cs="Arial"/>
                <w:bCs/>
              </w:rPr>
              <w:t xml:space="preserve"> Applications</w:t>
            </w:r>
            <w:r w:rsidR="00201245">
              <w:rPr>
                <w:rFonts w:cs="Arial"/>
                <w:bCs/>
              </w:rPr>
              <w:t xml:space="preserve"> Completed</w:t>
            </w:r>
          </w:p>
        </w:tc>
        <w:tc>
          <w:tcPr>
            <w:tcW w:w="1559" w:type="dxa"/>
            <w:shd w:val="clear" w:color="auto" w:fill="auto"/>
            <w:noWrap/>
            <w:hideMark/>
          </w:tcPr>
          <w:p w:rsidR="00201245" w:rsidRPr="00456EFB" w:rsidRDefault="009475AE" w:rsidP="00EF1C45">
            <w:pPr>
              <w:tabs>
                <w:tab w:val="left" w:pos="2880"/>
              </w:tabs>
              <w:ind w:left="709" w:hanging="709"/>
              <w:jc w:val="center"/>
              <w:rPr>
                <w:rFonts w:cs="Arial"/>
                <w:bCs/>
              </w:rPr>
            </w:pPr>
            <w:r>
              <w:rPr>
                <w:rFonts w:cs="Arial"/>
                <w:bCs/>
              </w:rPr>
              <w:t>6</w:t>
            </w:r>
          </w:p>
        </w:tc>
      </w:tr>
      <w:tr w:rsidR="00201245" w:rsidRPr="00D04D84" w:rsidTr="00A75D26">
        <w:trPr>
          <w:trHeight w:val="288"/>
          <w:jc w:val="center"/>
        </w:trPr>
        <w:tc>
          <w:tcPr>
            <w:tcW w:w="4634" w:type="dxa"/>
            <w:shd w:val="clear" w:color="auto" w:fill="D9D9D9"/>
            <w:noWrap/>
            <w:hideMark/>
          </w:tcPr>
          <w:p w:rsidR="00201245" w:rsidRPr="00D04D84" w:rsidRDefault="001B5AD6" w:rsidP="00A75D26">
            <w:pPr>
              <w:tabs>
                <w:tab w:val="left" w:pos="2880"/>
              </w:tabs>
              <w:ind w:left="709" w:hanging="709"/>
              <w:rPr>
                <w:rFonts w:cs="Arial"/>
                <w:bCs/>
              </w:rPr>
            </w:pPr>
            <w:r>
              <w:rPr>
                <w:rFonts w:cs="Arial"/>
                <w:bCs/>
              </w:rPr>
              <w:t>Carried 2020/21</w:t>
            </w:r>
            <w:r w:rsidR="00201245" w:rsidRPr="00D04D84">
              <w:rPr>
                <w:rFonts w:cs="Arial"/>
                <w:bCs/>
              </w:rPr>
              <w:t xml:space="preserve"> Applications</w:t>
            </w:r>
            <w:r w:rsidR="00201245">
              <w:rPr>
                <w:rFonts w:cs="Arial"/>
                <w:bCs/>
              </w:rPr>
              <w:t xml:space="preserve"> Completed</w:t>
            </w:r>
          </w:p>
        </w:tc>
        <w:tc>
          <w:tcPr>
            <w:tcW w:w="1559" w:type="dxa"/>
            <w:shd w:val="clear" w:color="auto" w:fill="D9D9D9"/>
            <w:noWrap/>
            <w:hideMark/>
          </w:tcPr>
          <w:p w:rsidR="00201245" w:rsidRPr="00456EFB" w:rsidRDefault="001B5AD6" w:rsidP="00EF1C45">
            <w:pPr>
              <w:tabs>
                <w:tab w:val="left" w:pos="2880"/>
              </w:tabs>
              <w:ind w:left="709" w:hanging="709"/>
              <w:jc w:val="center"/>
              <w:rPr>
                <w:rFonts w:cs="Arial"/>
                <w:bCs/>
              </w:rPr>
            </w:pPr>
            <w:r>
              <w:rPr>
                <w:rFonts w:cs="Arial"/>
                <w:bCs/>
              </w:rPr>
              <w:t>0</w:t>
            </w:r>
          </w:p>
        </w:tc>
      </w:tr>
      <w:tr w:rsidR="00201245" w:rsidRPr="00D04D84" w:rsidTr="00A75D26">
        <w:trPr>
          <w:trHeight w:val="288"/>
          <w:jc w:val="center"/>
        </w:trPr>
        <w:tc>
          <w:tcPr>
            <w:tcW w:w="4634" w:type="dxa"/>
            <w:shd w:val="clear" w:color="auto" w:fill="auto"/>
            <w:noWrap/>
            <w:hideMark/>
          </w:tcPr>
          <w:p w:rsidR="00201245" w:rsidRPr="00D04D84" w:rsidRDefault="00201245" w:rsidP="00A75D26">
            <w:pPr>
              <w:tabs>
                <w:tab w:val="left" w:pos="2880"/>
              </w:tabs>
              <w:ind w:left="709" w:hanging="709"/>
              <w:rPr>
                <w:rFonts w:cs="Arial"/>
                <w:bCs/>
              </w:rPr>
            </w:pPr>
            <w:r w:rsidRPr="00D04D84">
              <w:rPr>
                <w:rFonts w:cs="Arial"/>
                <w:bCs/>
              </w:rPr>
              <w:t>Average time (</w:t>
            </w:r>
            <w:r>
              <w:rPr>
                <w:rFonts w:cs="Arial"/>
                <w:bCs/>
              </w:rPr>
              <w:t xml:space="preserve">working </w:t>
            </w:r>
            <w:r w:rsidRPr="00D04D84">
              <w:rPr>
                <w:rFonts w:cs="Arial"/>
                <w:bCs/>
              </w:rPr>
              <w:t>days)</w:t>
            </w:r>
          </w:p>
        </w:tc>
        <w:tc>
          <w:tcPr>
            <w:tcW w:w="1559" w:type="dxa"/>
            <w:shd w:val="clear" w:color="auto" w:fill="auto"/>
            <w:noWrap/>
            <w:hideMark/>
          </w:tcPr>
          <w:p w:rsidR="00201245" w:rsidRPr="00713BEE" w:rsidRDefault="009475AE" w:rsidP="00EF1C45">
            <w:pPr>
              <w:tabs>
                <w:tab w:val="left" w:pos="2880"/>
              </w:tabs>
              <w:ind w:left="709" w:hanging="709"/>
              <w:jc w:val="center"/>
              <w:rPr>
                <w:rFonts w:cs="Arial"/>
                <w:bCs/>
              </w:rPr>
            </w:pPr>
            <w:r>
              <w:rPr>
                <w:rFonts w:cs="Arial"/>
                <w:bCs/>
              </w:rPr>
              <w:t>45</w:t>
            </w:r>
          </w:p>
        </w:tc>
      </w:tr>
      <w:tr w:rsidR="00201245" w:rsidRPr="00D04D84" w:rsidTr="00A75D26">
        <w:trPr>
          <w:trHeight w:val="288"/>
          <w:jc w:val="center"/>
        </w:trPr>
        <w:tc>
          <w:tcPr>
            <w:tcW w:w="4634" w:type="dxa"/>
            <w:shd w:val="clear" w:color="auto" w:fill="auto"/>
            <w:noWrap/>
            <w:hideMark/>
          </w:tcPr>
          <w:p w:rsidR="00201245" w:rsidRPr="00D04D84" w:rsidRDefault="00201245" w:rsidP="00A75D26">
            <w:pPr>
              <w:tabs>
                <w:tab w:val="left" w:pos="2880"/>
              </w:tabs>
              <w:ind w:left="709" w:hanging="709"/>
              <w:rPr>
                <w:rFonts w:cs="Arial"/>
                <w:bCs/>
              </w:rPr>
            </w:pPr>
            <w:r>
              <w:rPr>
                <w:rFonts w:cs="Arial"/>
                <w:bCs/>
              </w:rPr>
              <w:t>HAG Fund Allocated</w:t>
            </w:r>
          </w:p>
        </w:tc>
        <w:tc>
          <w:tcPr>
            <w:tcW w:w="1559" w:type="dxa"/>
            <w:shd w:val="clear" w:color="auto" w:fill="auto"/>
            <w:noWrap/>
            <w:hideMark/>
          </w:tcPr>
          <w:p w:rsidR="00201245" w:rsidRPr="00713BEE" w:rsidRDefault="00132D11" w:rsidP="00EF1C45">
            <w:pPr>
              <w:tabs>
                <w:tab w:val="left" w:pos="2880"/>
              </w:tabs>
              <w:ind w:left="709" w:hanging="709"/>
              <w:jc w:val="center"/>
              <w:rPr>
                <w:rFonts w:cs="Arial"/>
                <w:bCs/>
              </w:rPr>
            </w:pPr>
            <w:r>
              <w:rPr>
                <w:rFonts w:cs="Arial"/>
                <w:bCs/>
              </w:rPr>
              <w:t>49</w:t>
            </w:r>
            <w:r w:rsidR="00EF1C45">
              <w:rPr>
                <w:rFonts w:cs="Arial"/>
                <w:bCs/>
              </w:rPr>
              <w:t>%</w:t>
            </w:r>
          </w:p>
        </w:tc>
      </w:tr>
    </w:tbl>
    <w:p w:rsidR="00201245" w:rsidRDefault="00201245" w:rsidP="00201245">
      <w:pPr>
        <w:tabs>
          <w:tab w:val="left" w:pos="2880"/>
        </w:tabs>
        <w:ind w:left="709" w:hanging="709"/>
        <w:rPr>
          <w:rFonts w:cs="Arial"/>
          <w:bCs/>
        </w:rPr>
      </w:pPr>
    </w:p>
    <w:p w:rsidR="00201245" w:rsidRDefault="001B5AD6" w:rsidP="00201245">
      <w:pPr>
        <w:tabs>
          <w:tab w:val="left" w:pos="2880"/>
        </w:tabs>
        <w:ind w:left="709" w:hanging="709"/>
        <w:rPr>
          <w:rFonts w:cs="Arial"/>
          <w:bCs/>
        </w:rPr>
      </w:pPr>
      <w:r>
        <w:rPr>
          <w:rFonts w:cs="Arial"/>
          <w:bCs/>
          <w:u w:val="single"/>
        </w:rPr>
        <w:t>Carried Forward 2020/21</w:t>
      </w:r>
      <w:r w:rsidR="00201245">
        <w:rPr>
          <w:rFonts w:cs="Arial"/>
          <w:bCs/>
          <w:u w:val="single"/>
        </w:rPr>
        <w:t xml:space="preserve"> Adaptation</w:t>
      </w:r>
      <w:r w:rsidR="00201245" w:rsidRPr="001924FE">
        <w:rPr>
          <w:rFonts w:cs="Arial"/>
          <w:bCs/>
          <w:u w:val="single"/>
        </w:rPr>
        <w:t xml:space="preserve"> </w:t>
      </w:r>
      <w:r w:rsidR="00201245">
        <w:rPr>
          <w:rFonts w:cs="Arial"/>
          <w:bCs/>
          <w:u w:val="single"/>
        </w:rPr>
        <w:t>Summary</w:t>
      </w:r>
    </w:p>
    <w:p w:rsidR="00201245" w:rsidRDefault="001B5AD6" w:rsidP="003776FA">
      <w:pPr>
        <w:tabs>
          <w:tab w:val="left" w:pos="2880"/>
        </w:tabs>
        <w:ind w:left="709" w:hanging="709"/>
        <w:rPr>
          <w:rFonts w:cs="Arial"/>
          <w:bCs/>
        </w:rPr>
      </w:pPr>
      <w:r>
        <w:rPr>
          <w:rFonts w:cs="Arial"/>
          <w:bCs/>
        </w:rPr>
        <w:t>There were no Adapta</w:t>
      </w:r>
      <w:r w:rsidR="00B8326A">
        <w:rPr>
          <w:rFonts w:cs="Arial"/>
          <w:bCs/>
        </w:rPr>
        <w:t>tions carried forward from 2020/</w:t>
      </w:r>
      <w:r>
        <w:rPr>
          <w:rFonts w:cs="Arial"/>
          <w:bCs/>
        </w:rPr>
        <w:t>2021</w:t>
      </w:r>
    </w:p>
    <w:p w:rsidR="00201245" w:rsidRDefault="00201245" w:rsidP="00EF1C45">
      <w:pPr>
        <w:tabs>
          <w:tab w:val="left" w:pos="2880"/>
        </w:tabs>
        <w:ind w:left="709" w:hanging="709"/>
        <w:rPr>
          <w:rFonts w:cs="Arial"/>
          <w:bCs/>
        </w:rPr>
      </w:pPr>
      <w:r>
        <w:rPr>
          <w:rFonts w:cs="Arial"/>
          <w:bCs/>
        </w:rPr>
        <w:tab/>
        <w:t xml:space="preserve"> </w:t>
      </w:r>
    </w:p>
    <w:p w:rsidR="00201245" w:rsidRDefault="001B5AD6" w:rsidP="00201245">
      <w:pPr>
        <w:tabs>
          <w:tab w:val="left" w:pos="2880"/>
        </w:tabs>
        <w:ind w:left="709" w:hanging="709"/>
        <w:rPr>
          <w:rFonts w:cs="Arial"/>
          <w:bCs/>
        </w:rPr>
      </w:pPr>
      <w:r>
        <w:rPr>
          <w:rFonts w:cs="Arial"/>
          <w:bCs/>
          <w:u w:val="single"/>
        </w:rPr>
        <w:t>2021/22</w:t>
      </w:r>
      <w:r w:rsidR="00B41897">
        <w:rPr>
          <w:rFonts w:cs="Arial"/>
          <w:bCs/>
          <w:u w:val="single"/>
        </w:rPr>
        <w:t xml:space="preserve"> </w:t>
      </w:r>
      <w:r w:rsidR="00201245">
        <w:rPr>
          <w:rFonts w:cs="Arial"/>
          <w:bCs/>
          <w:u w:val="single"/>
        </w:rPr>
        <w:t>HAG Fund Summary</w:t>
      </w:r>
      <w:r w:rsidR="00C227C8">
        <w:rPr>
          <w:rFonts w:cs="Arial"/>
          <w:bCs/>
          <w:u w:val="single"/>
        </w:rPr>
        <w:t xml:space="preserve"> </w:t>
      </w:r>
    </w:p>
    <w:p w:rsidR="00201245" w:rsidRPr="000C7D13" w:rsidRDefault="00201245" w:rsidP="00201245">
      <w:pPr>
        <w:rPr>
          <w:rFonts w:cs="Arial"/>
          <w:bCs/>
          <w:color w:val="000000"/>
          <w:lang w:eastAsia="en-GB"/>
        </w:rPr>
      </w:pPr>
      <w:r>
        <w:rPr>
          <w:rFonts w:cs="Arial"/>
          <w:bCs/>
        </w:rPr>
        <w:t xml:space="preserve">Medical adaptation works valued at </w:t>
      </w:r>
      <w:r w:rsidRPr="00201245">
        <w:rPr>
          <w:rFonts w:cs="Arial"/>
          <w:bCs/>
        </w:rPr>
        <w:t>£</w:t>
      </w:r>
      <w:r w:rsidR="00B8326A">
        <w:rPr>
          <w:rFonts w:cs="Arial"/>
          <w:bCs/>
          <w:color w:val="000000"/>
          <w:lang w:eastAsia="en-GB"/>
        </w:rPr>
        <w:t>19,983</w:t>
      </w:r>
      <w:r w:rsidR="001B6E0E">
        <w:rPr>
          <w:rFonts w:cs="Arial"/>
          <w:bCs/>
          <w:color w:val="000000"/>
          <w:lang w:eastAsia="en-GB"/>
        </w:rPr>
        <w:t xml:space="preserve"> have now been instructed </w:t>
      </w:r>
      <w:r w:rsidR="00132D11">
        <w:rPr>
          <w:rFonts w:cs="Arial"/>
          <w:bCs/>
        </w:rPr>
        <w:t xml:space="preserve">which </w:t>
      </w:r>
      <w:proofErr w:type="gramStart"/>
      <w:r w:rsidR="00132D11">
        <w:rPr>
          <w:rFonts w:cs="Arial"/>
          <w:bCs/>
        </w:rPr>
        <w:t>is 49</w:t>
      </w:r>
      <w:r w:rsidR="001B5AD6">
        <w:rPr>
          <w:rFonts w:cs="Arial"/>
          <w:bCs/>
        </w:rPr>
        <w:t>% of our total 2021/22</w:t>
      </w:r>
      <w:r>
        <w:rPr>
          <w:rFonts w:cs="Arial"/>
          <w:bCs/>
        </w:rPr>
        <w:t xml:space="preserve"> HAG</w:t>
      </w:r>
      <w:proofErr w:type="gramEnd"/>
      <w:r>
        <w:rPr>
          <w:rFonts w:cs="Arial"/>
          <w:bCs/>
        </w:rPr>
        <w:t xml:space="preserve"> funding</w:t>
      </w:r>
      <w:r w:rsidR="00B8326A">
        <w:rPr>
          <w:rFonts w:cs="Arial"/>
          <w:bCs/>
        </w:rPr>
        <w:t>.</w:t>
      </w:r>
    </w:p>
    <w:p w:rsidR="00201245" w:rsidRDefault="00201245" w:rsidP="00201245">
      <w:pPr>
        <w:tabs>
          <w:tab w:val="left" w:pos="2880"/>
        </w:tabs>
        <w:ind w:left="709" w:hanging="709"/>
        <w:rPr>
          <w:rFonts w:cs="Arial"/>
        </w:rPr>
      </w:pPr>
      <w:r>
        <w:rPr>
          <w:rFonts w:cs="Arial"/>
          <w:bCs/>
        </w:rPr>
        <w:tab/>
      </w:r>
    </w:p>
    <w:p w:rsidR="00201245" w:rsidRDefault="00201245" w:rsidP="00201245">
      <w:pPr>
        <w:tabs>
          <w:tab w:val="left" w:pos="2880"/>
        </w:tabs>
        <w:rPr>
          <w:rFonts w:cs="Arial"/>
          <w:b/>
        </w:rPr>
      </w:pPr>
      <w:r>
        <w:rPr>
          <w:rFonts w:cs="Arial"/>
          <w:b/>
        </w:rPr>
        <w:t>3</w:t>
      </w:r>
      <w:r w:rsidRPr="00317E98">
        <w:rPr>
          <w:rFonts w:cs="Arial"/>
          <w:b/>
        </w:rPr>
        <w:t xml:space="preserve">.0     </w:t>
      </w:r>
      <w:r>
        <w:rPr>
          <w:rFonts w:cs="Arial"/>
          <w:b/>
        </w:rPr>
        <w:t xml:space="preserve"> </w:t>
      </w:r>
      <w:r w:rsidRPr="00317E98">
        <w:rPr>
          <w:rFonts w:cs="Arial"/>
          <w:b/>
        </w:rPr>
        <w:t>ARC Reporting</w:t>
      </w:r>
      <w:r w:rsidR="001B5AD6">
        <w:rPr>
          <w:rFonts w:cs="Arial"/>
          <w:b/>
        </w:rPr>
        <w:t xml:space="preserve"> 2021-22</w:t>
      </w:r>
      <w:r>
        <w:rPr>
          <w:rFonts w:cs="Arial"/>
          <w:b/>
        </w:rPr>
        <w:t xml:space="preserve"> Outturn Performance </w:t>
      </w:r>
    </w:p>
    <w:p w:rsidR="00201245" w:rsidRDefault="00201245" w:rsidP="00201245">
      <w:pPr>
        <w:tabs>
          <w:tab w:val="left" w:pos="2880"/>
        </w:tabs>
        <w:rPr>
          <w:rFonts w:cs="Arial"/>
          <w:b/>
        </w:rPr>
      </w:pPr>
    </w:p>
    <w:p w:rsidR="00201245" w:rsidRPr="001646A8" w:rsidRDefault="00201245" w:rsidP="00201245">
      <w:pPr>
        <w:tabs>
          <w:tab w:val="left" w:pos="2880"/>
        </w:tabs>
        <w:rPr>
          <w:rFonts w:cs="Arial"/>
        </w:rPr>
      </w:pPr>
      <w:r w:rsidRPr="00127B58">
        <w:rPr>
          <w:rFonts w:cs="Arial"/>
          <w:b/>
          <w:i/>
        </w:rPr>
        <w:t>Indicator 22:</w:t>
      </w:r>
      <w:r>
        <w:rPr>
          <w:rFonts w:cs="Arial"/>
        </w:rPr>
        <w:t xml:space="preserve">  Number </w:t>
      </w:r>
      <w:r w:rsidRPr="001646A8">
        <w:rPr>
          <w:rFonts w:cs="Arial"/>
        </w:rPr>
        <w:t>of Approved Applications comple</w:t>
      </w:r>
      <w:r>
        <w:rPr>
          <w:rFonts w:cs="Arial"/>
        </w:rPr>
        <w:t xml:space="preserve">ted during the reporting year </w:t>
      </w:r>
    </w:p>
    <w:p w:rsidR="00201245" w:rsidRPr="00596AF3" w:rsidRDefault="00201245" w:rsidP="00201245">
      <w:pPr>
        <w:tabs>
          <w:tab w:val="left" w:pos="3348"/>
        </w:tabs>
        <w:ind w:left="709" w:hanging="709"/>
        <w:rPr>
          <w:rFonts w:cs="Arial"/>
        </w:rPr>
      </w:pPr>
      <w:r w:rsidRPr="001646A8">
        <w:rPr>
          <w:rFonts w:cs="Arial"/>
        </w:rPr>
        <w:tab/>
      </w:r>
      <w:r w:rsidR="00132D11">
        <w:rPr>
          <w:rFonts w:cs="Arial"/>
        </w:rPr>
        <w:t>9</w:t>
      </w:r>
      <w:r w:rsidRPr="00596AF3">
        <w:rPr>
          <w:rFonts w:cs="Arial"/>
        </w:rPr>
        <w:t xml:space="preserve"> </w:t>
      </w:r>
      <w:r>
        <w:rPr>
          <w:rFonts w:cs="Arial"/>
        </w:rPr>
        <w:t>a</w:t>
      </w:r>
      <w:r w:rsidRPr="00596AF3">
        <w:rPr>
          <w:rFonts w:cs="Arial"/>
        </w:rPr>
        <w:t>pproved referrals</w:t>
      </w:r>
      <w:r>
        <w:rPr>
          <w:rFonts w:cs="Arial"/>
        </w:rPr>
        <w:t>,</w:t>
      </w:r>
      <w:r w:rsidRPr="00596AF3">
        <w:rPr>
          <w:rFonts w:cs="Arial"/>
        </w:rPr>
        <w:t xml:space="preserve"> with </w:t>
      </w:r>
      <w:r w:rsidR="00132D11">
        <w:rPr>
          <w:rFonts w:cs="Arial"/>
        </w:rPr>
        <w:t>6</w:t>
      </w:r>
      <w:r>
        <w:rPr>
          <w:rFonts w:cs="Arial"/>
        </w:rPr>
        <w:t xml:space="preserve"> </w:t>
      </w:r>
      <w:r w:rsidRPr="00596AF3">
        <w:rPr>
          <w:rFonts w:cs="Arial"/>
        </w:rPr>
        <w:t xml:space="preserve">completed = </w:t>
      </w:r>
      <w:r w:rsidR="00132D11">
        <w:rPr>
          <w:rFonts w:cs="Arial"/>
        </w:rPr>
        <w:t>66</w:t>
      </w:r>
      <w:r w:rsidRPr="001F309E">
        <w:rPr>
          <w:rFonts w:cs="Arial"/>
          <w:b/>
        </w:rPr>
        <w:t>%</w:t>
      </w:r>
    </w:p>
    <w:p w:rsidR="00201245" w:rsidRPr="00596AF3" w:rsidRDefault="00201245" w:rsidP="00201245">
      <w:pPr>
        <w:tabs>
          <w:tab w:val="left" w:pos="2880"/>
        </w:tabs>
        <w:rPr>
          <w:rFonts w:cs="Arial"/>
        </w:rPr>
      </w:pPr>
    </w:p>
    <w:p w:rsidR="00201245" w:rsidRPr="001646A8" w:rsidRDefault="00201245" w:rsidP="00201245">
      <w:pPr>
        <w:tabs>
          <w:tab w:val="left" w:pos="2880"/>
        </w:tabs>
        <w:rPr>
          <w:rFonts w:cs="Arial"/>
        </w:rPr>
      </w:pPr>
      <w:r w:rsidRPr="00127B58">
        <w:rPr>
          <w:rFonts w:cs="Arial"/>
          <w:b/>
          <w:i/>
        </w:rPr>
        <w:t>Indicator 23</w:t>
      </w:r>
      <w:r w:rsidRPr="001646A8">
        <w:rPr>
          <w:rFonts w:cs="Arial"/>
        </w:rPr>
        <w:t>: Average time to complete applications</w:t>
      </w:r>
    </w:p>
    <w:p w:rsidR="00201245" w:rsidRPr="001646A8" w:rsidRDefault="00201245" w:rsidP="00201245">
      <w:pPr>
        <w:tabs>
          <w:tab w:val="left" w:pos="2880"/>
        </w:tabs>
        <w:rPr>
          <w:rFonts w:cs="Arial"/>
        </w:rPr>
      </w:pPr>
    </w:p>
    <w:p w:rsidR="00201245" w:rsidRPr="00596AF3" w:rsidRDefault="00201245" w:rsidP="00201245">
      <w:pPr>
        <w:tabs>
          <w:tab w:val="left" w:pos="2880"/>
        </w:tabs>
        <w:ind w:left="720"/>
        <w:rPr>
          <w:rFonts w:cs="Arial"/>
        </w:rPr>
      </w:pPr>
      <w:r w:rsidRPr="00596AF3">
        <w:rPr>
          <w:rFonts w:cs="Arial"/>
        </w:rPr>
        <w:t xml:space="preserve">Total number of </w:t>
      </w:r>
      <w:r>
        <w:rPr>
          <w:rFonts w:cs="Arial"/>
        </w:rPr>
        <w:t xml:space="preserve">working </w:t>
      </w:r>
      <w:r w:rsidRPr="00596AF3">
        <w:rPr>
          <w:rFonts w:cs="Arial"/>
        </w:rPr>
        <w:t xml:space="preserve">days taken to complete approved applications divided by the number of completed applications to date: </w:t>
      </w:r>
    </w:p>
    <w:p w:rsidR="00201245" w:rsidRDefault="00201245" w:rsidP="00201245">
      <w:pPr>
        <w:tabs>
          <w:tab w:val="left" w:pos="2880"/>
        </w:tabs>
        <w:ind w:left="720"/>
        <w:rPr>
          <w:rFonts w:cs="Arial"/>
        </w:rPr>
      </w:pPr>
    </w:p>
    <w:p w:rsidR="00201245" w:rsidRPr="00713BEE" w:rsidRDefault="00132D11" w:rsidP="00201245">
      <w:pPr>
        <w:tabs>
          <w:tab w:val="left" w:pos="2880"/>
        </w:tabs>
        <w:ind w:left="720"/>
        <w:rPr>
          <w:rFonts w:cs="Arial"/>
        </w:rPr>
      </w:pPr>
      <w:r>
        <w:rPr>
          <w:rFonts w:cs="Arial"/>
        </w:rPr>
        <w:t>271</w:t>
      </w:r>
      <w:r w:rsidR="00201245">
        <w:rPr>
          <w:rFonts w:cs="Arial"/>
        </w:rPr>
        <w:t xml:space="preserve"> </w:t>
      </w:r>
      <w:r w:rsidR="00201245" w:rsidRPr="00713BEE">
        <w:rPr>
          <w:rFonts w:cs="Arial"/>
        </w:rPr>
        <w:t xml:space="preserve">days to complete </w:t>
      </w:r>
      <w:r>
        <w:rPr>
          <w:rFonts w:cs="Arial"/>
        </w:rPr>
        <w:t>6</w:t>
      </w:r>
      <w:r w:rsidR="00201245">
        <w:rPr>
          <w:rFonts w:cs="Arial"/>
        </w:rPr>
        <w:t xml:space="preserve"> </w:t>
      </w:r>
      <w:r w:rsidR="00201245" w:rsidRPr="00713BEE">
        <w:rPr>
          <w:rFonts w:cs="Arial"/>
        </w:rPr>
        <w:t xml:space="preserve">applications = </w:t>
      </w:r>
      <w:r>
        <w:rPr>
          <w:rFonts w:cs="Arial"/>
        </w:rPr>
        <w:t>45</w:t>
      </w:r>
      <w:r w:rsidR="00201245" w:rsidRPr="001F309E">
        <w:rPr>
          <w:rFonts w:cs="Arial"/>
          <w:b/>
        </w:rPr>
        <w:t xml:space="preserve"> </w:t>
      </w:r>
      <w:r w:rsidR="00201245">
        <w:rPr>
          <w:rFonts w:cs="Arial"/>
          <w:b/>
        </w:rPr>
        <w:t xml:space="preserve">working </w:t>
      </w:r>
      <w:r w:rsidR="00201245" w:rsidRPr="001F309E">
        <w:rPr>
          <w:rFonts w:cs="Arial"/>
          <w:b/>
        </w:rPr>
        <w:t>days</w:t>
      </w:r>
      <w:r w:rsidR="00201245" w:rsidRPr="00713BEE">
        <w:rPr>
          <w:rFonts w:cs="Arial"/>
        </w:rPr>
        <w:t xml:space="preserve">. </w:t>
      </w:r>
    </w:p>
    <w:p w:rsidR="00201245" w:rsidRDefault="00201245" w:rsidP="00201245">
      <w:pPr>
        <w:tabs>
          <w:tab w:val="left" w:pos="2880"/>
        </w:tabs>
        <w:ind w:left="720"/>
        <w:rPr>
          <w:rFonts w:cs="Arial"/>
        </w:rPr>
      </w:pPr>
    </w:p>
    <w:p w:rsidR="00201245" w:rsidRPr="00127B58" w:rsidRDefault="00201245" w:rsidP="00201245">
      <w:pPr>
        <w:tabs>
          <w:tab w:val="left" w:pos="2880"/>
        </w:tabs>
        <w:ind w:left="720"/>
        <w:rPr>
          <w:rFonts w:cs="Arial"/>
        </w:rPr>
      </w:pPr>
      <w:r>
        <w:rPr>
          <w:rFonts w:cs="Arial"/>
        </w:rPr>
        <w:t>*</w:t>
      </w:r>
      <w:r w:rsidRPr="00226A5B">
        <w:rPr>
          <w:rFonts w:cs="Arial"/>
        </w:rPr>
        <w:t xml:space="preserve">Committee are asked to note </w:t>
      </w:r>
      <w:r>
        <w:rPr>
          <w:rFonts w:cs="Arial"/>
        </w:rPr>
        <w:t>that the number of days to complete approved applications has been changed to working days to comply with the new ARC regulations for the reporting year.</w:t>
      </w:r>
    </w:p>
    <w:p w:rsidR="00201245" w:rsidRPr="001E2A21" w:rsidRDefault="00201245" w:rsidP="00201245">
      <w:r>
        <w:rPr>
          <w:rFonts w:cs="Arial"/>
        </w:rPr>
        <w:t> </w:t>
      </w:r>
    </w:p>
    <w:p w:rsidR="00201245" w:rsidRDefault="00201245" w:rsidP="00201245">
      <w:pPr>
        <w:rPr>
          <w:rFonts w:cs="Arial"/>
          <w:b/>
        </w:rPr>
      </w:pPr>
      <w:r>
        <w:rPr>
          <w:rFonts w:cs="Arial"/>
          <w:b/>
        </w:rPr>
        <w:t>4</w:t>
      </w:r>
      <w:r w:rsidRPr="001E2A21">
        <w:rPr>
          <w:rFonts w:cs="Arial"/>
          <w:b/>
        </w:rPr>
        <w:t>.0</w:t>
      </w:r>
      <w:r w:rsidRPr="001E2A21">
        <w:rPr>
          <w:rFonts w:cs="Arial"/>
          <w:b/>
        </w:rPr>
        <w:tab/>
        <w:t>Resource Implications</w:t>
      </w:r>
    </w:p>
    <w:p w:rsidR="00201245" w:rsidRDefault="00201245" w:rsidP="00201245">
      <w:pPr>
        <w:rPr>
          <w:rFonts w:cs="Arial"/>
          <w:b/>
        </w:rPr>
      </w:pPr>
    </w:p>
    <w:p w:rsidR="00201245" w:rsidRPr="00127B58" w:rsidRDefault="00201245" w:rsidP="00201245">
      <w:pPr>
        <w:rPr>
          <w:rFonts w:cs="Arial"/>
        </w:rPr>
      </w:pPr>
      <w:r w:rsidRPr="00127B58">
        <w:rPr>
          <w:rFonts w:cs="Arial"/>
        </w:rPr>
        <w:t>There are no identified resource implications.</w:t>
      </w:r>
    </w:p>
    <w:p w:rsidR="00201245" w:rsidRPr="008D4F86" w:rsidRDefault="00201245" w:rsidP="00201245">
      <w:pPr>
        <w:rPr>
          <w:rFonts w:cs="Arial"/>
          <w:b/>
        </w:rPr>
      </w:pPr>
    </w:p>
    <w:p w:rsidR="00201245" w:rsidRPr="008D4F86" w:rsidRDefault="00201245" w:rsidP="00201245">
      <w:pPr>
        <w:rPr>
          <w:rFonts w:cs="Arial"/>
          <w:b/>
        </w:rPr>
      </w:pPr>
      <w:r>
        <w:rPr>
          <w:rFonts w:cs="Arial"/>
          <w:b/>
        </w:rPr>
        <w:t>5</w:t>
      </w:r>
      <w:r w:rsidRPr="001E2A21">
        <w:rPr>
          <w:rFonts w:cs="Arial"/>
          <w:b/>
        </w:rPr>
        <w:t>.0</w:t>
      </w:r>
      <w:r w:rsidRPr="001E2A21">
        <w:rPr>
          <w:rFonts w:cs="Arial"/>
          <w:b/>
        </w:rPr>
        <w:tab/>
        <w:t>Potential Risks</w:t>
      </w:r>
    </w:p>
    <w:p w:rsidR="00201245" w:rsidRDefault="00201245" w:rsidP="00201245">
      <w:pPr>
        <w:rPr>
          <w:rFonts w:cs="Arial"/>
        </w:rPr>
      </w:pPr>
    </w:p>
    <w:p w:rsidR="00201245" w:rsidRDefault="00201245" w:rsidP="00201245">
      <w:pPr>
        <w:rPr>
          <w:rFonts w:cs="Arial"/>
        </w:rPr>
      </w:pPr>
      <w:r>
        <w:rPr>
          <w:rFonts w:cs="Arial"/>
        </w:rPr>
        <w:t>There are no identified risks.</w:t>
      </w:r>
    </w:p>
    <w:p w:rsidR="00201245" w:rsidRDefault="00201245" w:rsidP="00201245">
      <w:pPr>
        <w:rPr>
          <w:rFonts w:cs="Arial"/>
        </w:rPr>
      </w:pPr>
    </w:p>
    <w:p w:rsidR="00201245" w:rsidRDefault="00201245" w:rsidP="00201245">
      <w:pPr>
        <w:rPr>
          <w:rFonts w:cs="Arial"/>
        </w:rPr>
      </w:pPr>
      <w:r>
        <w:rPr>
          <w:rFonts w:cs="Arial"/>
          <w:b/>
          <w:bCs/>
        </w:rPr>
        <w:t>6.0</w:t>
      </w:r>
      <w:r>
        <w:rPr>
          <w:rFonts w:cs="Arial"/>
          <w:b/>
          <w:bCs/>
        </w:rPr>
        <w:tab/>
        <w:t>Conclusion</w:t>
      </w:r>
    </w:p>
    <w:p w:rsidR="00201245" w:rsidRDefault="00201245" w:rsidP="00201245">
      <w:pPr>
        <w:tabs>
          <w:tab w:val="left" w:pos="709"/>
        </w:tabs>
        <w:ind w:left="705" w:hanging="705"/>
        <w:rPr>
          <w:rFonts w:cs="Arial"/>
        </w:rPr>
      </w:pPr>
      <w:r>
        <w:rPr>
          <w:rFonts w:cs="Arial"/>
        </w:rPr>
        <w:t xml:space="preserve">Committee are asked to note the report </w:t>
      </w:r>
      <w:r w:rsidRPr="00226A5B">
        <w:rPr>
          <w:rFonts w:cs="Arial"/>
        </w:rPr>
        <w:t>and rai</w:t>
      </w:r>
      <w:r>
        <w:rPr>
          <w:rFonts w:cs="Arial"/>
        </w:rPr>
        <w:t xml:space="preserve">se any questions or comments at </w:t>
      </w:r>
    </w:p>
    <w:p w:rsidR="0036635B" w:rsidRDefault="00B8326A" w:rsidP="000730CF">
      <w:pPr>
        <w:tabs>
          <w:tab w:val="left" w:pos="709"/>
        </w:tabs>
        <w:ind w:left="705" w:hanging="705"/>
      </w:pPr>
      <w:r>
        <w:rPr>
          <w:rFonts w:cs="Arial"/>
        </w:rPr>
        <w:t>the M</w:t>
      </w:r>
      <w:bookmarkStart w:id="0" w:name="_GoBack"/>
      <w:bookmarkEnd w:id="0"/>
      <w:r w:rsidR="00201245" w:rsidRPr="00226A5B">
        <w:rPr>
          <w:rFonts w:cs="Arial"/>
        </w:rPr>
        <w:t>eeting.</w:t>
      </w:r>
    </w:p>
    <w:sectPr w:rsidR="0036635B" w:rsidSect="00127B5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2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A08" w:rsidRDefault="00222A08">
      <w:r>
        <w:separator/>
      </w:r>
    </w:p>
  </w:endnote>
  <w:endnote w:type="continuationSeparator" w:id="0">
    <w:p w:rsidR="00222A08" w:rsidRDefault="0022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929" w:rsidRDefault="00B83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929" w:rsidRDefault="00B83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929" w:rsidRDefault="00B83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A08" w:rsidRDefault="00222A08">
      <w:r>
        <w:separator/>
      </w:r>
    </w:p>
  </w:footnote>
  <w:footnote w:type="continuationSeparator" w:id="0">
    <w:p w:rsidR="00222A08" w:rsidRDefault="0022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929" w:rsidRDefault="00B83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929" w:rsidRDefault="00B83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929" w:rsidRDefault="00B83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582E"/>
    <w:multiLevelType w:val="multilevel"/>
    <w:tmpl w:val="6150980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9E"/>
    <w:rsid w:val="000120E1"/>
    <w:rsid w:val="000730CF"/>
    <w:rsid w:val="000C7D13"/>
    <w:rsid w:val="000F439C"/>
    <w:rsid w:val="00132D11"/>
    <w:rsid w:val="001B5AD6"/>
    <w:rsid w:val="001B6E0E"/>
    <w:rsid w:val="001E3F1F"/>
    <w:rsid w:val="00201245"/>
    <w:rsid w:val="00222A08"/>
    <w:rsid w:val="00280616"/>
    <w:rsid w:val="002A3013"/>
    <w:rsid w:val="002D2369"/>
    <w:rsid w:val="002F0548"/>
    <w:rsid w:val="003523A4"/>
    <w:rsid w:val="003579BE"/>
    <w:rsid w:val="0036635B"/>
    <w:rsid w:val="003776FA"/>
    <w:rsid w:val="004129C9"/>
    <w:rsid w:val="00584980"/>
    <w:rsid w:val="005B402B"/>
    <w:rsid w:val="005C1AAE"/>
    <w:rsid w:val="005F7376"/>
    <w:rsid w:val="00603690"/>
    <w:rsid w:val="00664AA4"/>
    <w:rsid w:val="00706C18"/>
    <w:rsid w:val="00762616"/>
    <w:rsid w:val="007F2887"/>
    <w:rsid w:val="00835505"/>
    <w:rsid w:val="0087288E"/>
    <w:rsid w:val="008A0E9E"/>
    <w:rsid w:val="00911AA5"/>
    <w:rsid w:val="009475AE"/>
    <w:rsid w:val="009502BA"/>
    <w:rsid w:val="009540B8"/>
    <w:rsid w:val="00AE59D6"/>
    <w:rsid w:val="00B41897"/>
    <w:rsid w:val="00B8326A"/>
    <w:rsid w:val="00C227C8"/>
    <w:rsid w:val="00C40003"/>
    <w:rsid w:val="00D94F71"/>
    <w:rsid w:val="00E624C7"/>
    <w:rsid w:val="00E862B3"/>
    <w:rsid w:val="00EF1C45"/>
    <w:rsid w:val="00EF6778"/>
    <w:rsid w:val="00F22FF4"/>
    <w:rsid w:val="00FC0BA7"/>
    <w:rsid w:val="00FE7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7B3627"/>
  <w15:chartTrackingRefBased/>
  <w15:docId w15:val="{3C87BD0B-0CD3-4FC5-B8A9-C222DF3F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245"/>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201245"/>
    <w:pPr>
      <w:keepNext/>
      <w:ind w:left="360"/>
      <w:outlineLvl w:val="1"/>
    </w:pPr>
    <w:rPr>
      <w:rFonts w:cs="Arial"/>
      <w:u w:val="single"/>
    </w:rPr>
  </w:style>
  <w:style w:type="paragraph" w:styleId="Heading7">
    <w:name w:val="heading 7"/>
    <w:basedOn w:val="Normal"/>
    <w:next w:val="Normal"/>
    <w:link w:val="Heading7Char"/>
    <w:qFormat/>
    <w:rsid w:val="00201245"/>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1245"/>
    <w:rPr>
      <w:rFonts w:ascii="Arial" w:eastAsia="Times New Roman" w:hAnsi="Arial" w:cs="Arial"/>
      <w:sz w:val="24"/>
      <w:szCs w:val="24"/>
      <w:u w:val="single"/>
    </w:rPr>
  </w:style>
  <w:style w:type="character" w:customStyle="1" w:styleId="Heading7Char">
    <w:name w:val="Heading 7 Char"/>
    <w:basedOn w:val="DefaultParagraphFont"/>
    <w:link w:val="Heading7"/>
    <w:rsid w:val="00201245"/>
    <w:rPr>
      <w:rFonts w:ascii="Arial" w:eastAsia="Times New Roman" w:hAnsi="Arial" w:cs="Times New Roman"/>
      <w:b/>
      <w:sz w:val="28"/>
      <w:szCs w:val="24"/>
    </w:rPr>
  </w:style>
  <w:style w:type="paragraph" w:styleId="Header">
    <w:name w:val="header"/>
    <w:basedOn w:val="Normal"/>
    <w:link w:val="HeaderChar"/>
    <w:rsid w:val="00201245"/>
    <w:pPr>
      <w:tabs>
        <w:tab w:val="center" w:pos="4320"/>
        <w:tab w:val="right" w:pos="8640"/>
      </w:tabs>
    </w:pPr>
  </w:style>
  <w:style w:type="character" w:customStyle="1" w:styleId="HeaderChar">
    <w:name w:val="Header Char"/>
    <w:basedOn w:val="DefaultParagraphFont"/>
    <w:link w:val="Header"/>
    <w:rsid w:val="00201245"/>
    <w:rPr>
      <w:rFonts w:ascii="Arial" w:eastAsia="Times New Roman" w:hAnsi="Arial" w:cs="Times New Roman"/>
      <w:sz w:val="24"/>
      <w:szCs w:val="24"/>
    </w:rPr>
  </w:style>
  <w:style w:type="paragraph" w:styleId="Footer">
    <w:name w:val="footer"/>
    <w:basedOn w:val="Normal"/>
    <w:link w:val="FooterChar"/>
    <w:rsid w:val="00201245"/>
    <w:pPr>
      <w:tabs>
        <w:tab w:val="center" w:pos="4320"/>
        <w:tab w:val="right" w:pos="8640"/>
      </w:tabs>
    </w:pPr>
  </w:style>
  <w:style w:type="character" w:customStyle="1" w:styleId="FooterChar">
    <w:name w:val="Footer Char"/>
    <w:basedOn w:val="DefaultParagraphFont"/>
    <w:link w:val="Footer"/>
    <w:rsid w:val="0020124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Ian Morrison</cp:lastModifiedBy>
  <cp:revision>9</cp:revision>
  <dcterms:created xsi:type="dcterms:W3CDTF">2021-07-29T08:16:00Z</dcterms:created>
  <dcterms:modified xsi:type="dcterms:W3CDTF">2022-01-28T15:34:00Z</dcterms:modified>
</cp:coreProperties>
</file>